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B55985">
      <w:pPr>
        <w:spacing w:before="156" w:beforeLines="50" w:after="156" w:afterLines="50" w:line="288" w:lineRule="auto"/>
        <w:ind w:firstLine="0" w:firstLineChars="0"/>
        <w:rPr>
          <w:b/>
          <w:sz w:val="52"/>
        </w:rPr>
      </w:pPr>
    </w:p>
    <w:p w14:paraId="0C37F05A">
      <w:pPr>
        <w:ind w:firstLine="0" w:firstLineChars="0"/>
        <w:jc w:val="center"/>
        <w:rPr>
          <w:b/>
          <w:sz w:val="36"/>
          <w:szCs w:val="36"/>
        </w:rPr>
      </w:pPr>
      <w:r>
        <w:rPr>
          <w:rFonts w:hint="eastAsia" w:ascii="Calibri" w:hAnsi="Calibri" w:eastAsia="仿宋" w:cs="Calibri"/>
          <w:b/>
          <w:sz w:val="100"/>
          <w:szCs w:val="100"/>
        </w:rPr>
        <w:t xml:space="preserve">Operation </w:t>
      </w:r>
      <w:r>
        <w:rPr>
          <w:rFonts w:ascii="Calibri" w:hAnsi="Calibri" w:eastAsia="仿宋" w:cs="Calibri"/>
          <w:b/>
          <w:sz w:val="100"/>
          <w:szCs w:val="100"/>
        </w:rPr>
        <w:t>M</w:t>
      </w:r>
      <w:r>
        <w:rPr>
          <w:rFonts w:hint="eastAsia" w:ascii="Calibri" w:hAnsi="Calibri" w:eastAsia="仿宋" w:cs="Calibri"/>
          <w:b/>
          <w:sz w:val="100"/>
          <w:szCs w:val="100"/>
        </w:rPr>
        <w:t>anual</w:t>
      </w:r>
    </w:p>
    <w:p w14:paraId="590C668A">
      <w:pPr>
        <w:spacing w:line="220" w:lineRule="atLeast"/>
        <w:ind w:firstLine="643"/>
        <w:jc w:val="center"/>
        <w:rPr>
          <w:b/>
          <w:sz w:val="32"/>
          <w:szCs w:val="32"/>
        </w:rPr>
      </w:pPr>
      <w:r>
        <w:rPr>
          <w:rFonts w:hint="eastAsia"/>
          <w:b/>
          <w:sz w:val="32"/>
          <w:szCs w:val="32"/>
        </w:rPr>
        <w:t>HM5002</w:t>
      </w:r>
      <w:r>
        <w:rPr>
          <w:b/>
          <w:sz w:val="32"/>
          <w:szCs w:val="32"/>
        </w:rPr>
        <w:t xml:space="preserve"> </w:t>
      </w:r>
      <w:r>
        <w:rPr>
          <w:rFonts w:hint="eastAsia"/>
          <w:b/>
          <w:sz w:val="32"/>
          <w:szCs w:val="32"/>
        </w:rPr>
        <w:t>Transformer DC Winding Resistance Tester</w:t>
      </w:r>
    </w:p>
    <w:p w14:paraId="4BC69EAA">
      <w:pPr>
        <w:spacing w:before="156" w:beforeLines="50" w:after="156" w:afterLines="50" w:line="288" w:lineRule="auto"/>
        <w:ind w:firstLine="199" w:firstLineChars="66"/>
        <w:rPr>
          <w:b/>
          <w:sz w:val="30"/>
          <w:szCs w:val="30"/>
        </w:rPr>
      </w:pPr>
    </w:p>
    <w:p w14:paraId="1DC1B421">
      <w:pPr>
        <w:spacing w:before="156" w:beforeLines="50" w:after="156" w:afterLines="50" w:line="288" w:lineRule="auto"/>
        <w:ind w:firstLine="114" w:firstLineChars="38"/>
        <w:jc w:val="center"/>
        <w:rPr>
          <w:b/>
          <w:sz w:val="30"/>
          <w:szCs w:val="30"/>
        </w:rPr>
      </w:pPr>
      <w:r>
        <w:rPr>
          <w:b/>
          <w:sz w:val="30"/>
          <w:szCs w:val="30"/>
        </w:rPr>
        <w:drawing>
          <wp:inline distT="0" distB="0" distL="0" distR="0">
            <wp:extent cx="2343150" cy="2758440"/>
            <wp:effectExtent l="0" t="0" r="0" b="381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1">
                      <a:extLst>
                        <a:ext uri="{28A0092B-C50C-407E-A947-70E740481C1C}">
                          <a14:useLocalDpi xmlns:a14="http://schemas.microsoft.com/office/drawing/2010/main" val="0"/>
                        </a:ext>
                      </a:extLst>
                    </a:blip>
                    <a:srcRect t="4992" b="5010"/>
                    <a:stretch>
                      <a:fillRect/>
                    </a:stretch>
                  </pic:blipFill>
                  <pic:spPr>
                    <a:xfrm>
                      <a:off x="0" y="0"/>
                      <a:ext cx="2343150" cy="2758440"/>
                    </a:xfrm>
                    <a:prstGeom prst="rect">
                      <a:avLst/>
                    </a:prstGeom>
                    <a:ln>
                      <a:noFill/>
                    </a:ln>
                  </pic:spPr>
                </pic:pic>
              </a:graphicData>
            </a:graphic>
          </wp:inline>
        </w:drawing>
      </w:r>
    </w:p>
    <w:p w14:paraId="2B281DB2">
      <w:pPr>
        <w:spacing w:before="156" w:beforeLines="50" w:after="156" w:afterLines="50" w:line="288" w:lineRule="auto"/>
        <w:ind w:firstLine="198" w:firstLineChars="38"/>
        <w:jc w:val="left"/>
        <w:rPr>
          <w:b/>
          <w:sz w:val="52"/>
        </w:rPr>
      </w:pPr>
    </w:p>
    <w:p w14:paraId="3D0808FC">
      <w:pPr>
        <w:spacing w:before="156" w:beforeLines="50" w:after="156" w:afterLines="50" w:line="288" w:lineRule="auto"/>
        <w:ind w:firstLine="198" w:firstLineChars="38"/>
        <w:jc w:val="left"/>
        <w:rPr>
          <w:b/>
          <w:sz w:val="52"/>
        </w:rPr>
      </w:pPr>
    </w:p>
    <w:p w14:paraId="784D84C9">
      <w:pPr>
        <w:spacing w:after="80" w:line="480" w:lineRule="auto"/>
        <w:ind w:firstLine="0" w:firstLineChars="0"/>
        <w:jc w:val="center"/>
        <w:rPr>
          <w:rFonts w:ascii="Arial" w:hAnsi="Arial" w:eastAsia="黑体" w:cs="Arial"/>
          <w:b/>
          <w:bCs/>
          <w:sz w:val="32"/>
          <w:szCs w:val="32"/>
          <w:u w:val="thick"/>
        </w:rPr>
      </w:pPr>
      <w:r>
        <w:rPr>
          <w:rFonts w:ascii="Arial" w:hAnsi="Arial" w:eastAsia="黑体" w:cs="Arial"/>
          <w:b/>
          <w:bCs/>
          <w:sz w:val="32"/>
          <w:szCs w:val="32"/>
          <w:u w:val="thick"/>
        </w:rPr>
        <w:t>WUHAN GOLDHOME HIPOT ELECTRICAL CO.,LTD</w:t>
      </w:r>
    </w:p>
    <w:p w14:paraId="50EBF9AC">
      <w:pPr>
        <w:spacing w:after="80" w:line="480" w:lineRule="auto"/>
        <w:ind w:firstLine="422"/>
        <w:jc w:val="center"/>
        <w:rPr>
          <w:rFonts w:ascii="Arial" w:hAnsi="Arial" w:eastAsia="仿宋" w:cs="Arial"/>
          <w:b/>
          <w:bCs/>
          <w:szCs w:val="21"/>
        </w:rPr>
      </w:pPr>
      <w:r>
        <w:rPr>
          <w:rFonts w:ascii="Arial" w:hAnsi="Arial" w:eastAsia="仿宋" w:cs="Arial"/>
          <w:b/>
          <w:bCs/>
          <w:szCs w:val="21"/>
        </w:rPr>
        <w:t>Tel.：+86-13720185294          Fax：+86-27-</w:t>
      </w:r>
      <w:r>
        <w:rPr>
          <w:rFonts w:hint="eastAsia" w:ascii="Arial" w:hAnsi="Arial" w:eastAsia="仿宋" w:cs="Arial"/>
          <w:b/>
          <w:bCs/>
          <w:szCs w:val="21"/>
        </w:rPr>
        <w:t>84620387</w:t>
      </w:r>
    </w:p>
    <w:p w14:paraId="07D60FA2">
      <w:pPr>
        <w:spacing w:after="80" w:line="480" w:lineRule="auto"/>
        <w:ind w:firstLine="1476" w:firstLineChars="700"/>
        <w:rPr>
          <w:rFonts w:ascii="Arial" w:hAnsi="Arial" w:eastAsia="仿宋" w:cs="Arial"/>
          <w:b/>
          <w:bCs/>
          <w:szCs w:val="21"/>
        </w:rPr>
      </w:pPr>
      <w:r>
        <w:rPr>
          <w:rFonts w:ascii="Arial" w:hAnsi="Arial" w:eastAsia="仿宋" w:cs="Arial"/>
          <w:b/>
          <w:bCs/>
          <w:szCs w:val="21"/>
        </w:rPr>
        <w:t xml:space="preserve">Email: goldhome02@cablehipot.com    Web.: </w:t>
      </w:r>
      <w:r>
        <w:fldChar w:fldCharType="begin"/>
      </w:r>
      <w:r>
        <w:instrText xml:space="preserve"> HYPERLINK "http://www.cablehipot.com" </w:instrText>
      </w:r>
      <w:r>
        <w:fldChar w:fldCharType="separate"/>
      </w:r>
      <w:r>
        <w:rPr>
          <w:rStyle w:val="13"/>
          <w:rFonts w:ascii="Arial" w:hAnsi="Arial" w:eastAsia="仿宋" w:cs="Arial"/>
          <w:b/>
          <w:bCs/>
          <w:szCs w:val="21"/>
        </w:rPr>
        <w:t>www.hvcablehipot.com</w:t>
      </w:r>
      <w:r>
        <w:rPr>
          <w:rStyle w:val="13"/>
          <w:rFonts w:ascii="Arial" w:hAnsi="Arial" w:eastAsia="仿宋" w:cs="Arial"/>
          <w:b/>
          <w:bCs/>
          <w:szCs w:val="21"/>
        </w:rPr>
        <w:fldChar w:fldCharType="end"/>
      </w:r>
    </w:p>
    <w:p w14:paraId="3A226CA7">
      <w:pPr>
        <w:spacing w:after="80" w:line="480" w:lineRule="auto"/>
        <w:ind w:firstLine="422"/>
        <w:jc w:val="center"/>
        <w:rPr>
          <w:rFonts w:ascii="Arial" w:hAnsi="Arial" w:eastAsia="仿宋" w:cs="Arial"/>
          <w:b/>
          <w:bCs/>
          <w:szCs w:val="21"/>
        </w:rPr>
      </w:pPr>
      <w:r>
        <w:rPr>
          <w:rFonts w:ascii="Arial" w:hAnsi="Arial" w:eastAsia="仿宋" w:cs="Arial"/>
          <w:b/>
          <w:bCs/>
          <w:szCs w:val="21"/>
        </w:rPr>
        <w:t>Add.: No.A25-1, Huading Mould Industrial Park, Hannan, Wuhan, Hubei, China</w:t>
      </w:r>
    </w:p>
    <w:p w14:paraId="55AF225A">
      <w:pPr>
        <w:spacing w:after="80" w:line="480" w:lineRule="auto"/>
        <w:ind w:firstLine="422"/>
        <w:jc w:val="center"/>
        <w:rPr>
          <w:rFonts w:ascii="Arial" w:hAnsi="Arial" w:eastAsia="仿宋" w:cs="Arial"/>
          <w:b/>
          <w:bCs/>
          <w:szCs w:val="21"/>
        </w:rPr>
      </w:pPr>
    </w:p>
    <w:p w14:paraId="3AC5AED0">
      <w:pPr>
        <w:spacing w:after="80" w:line="480" w:lineRule="auto"/>
        <w:ind w:firstLine="422"/>
        <w:jc w:val="center"/>
        <w:rPr>
          <w:rFonts w:ascii="Arial" w:hAnsi="Arial" w:eastAsia="仿宋" w:cs="Arial"/>
          <w:b/>
          <w:bCs/>
          <w:szCs w:val="21"/>
        </w:rPr>
      </w:pPr>
    </w:p>
    <w:p w14:paraId="4CD02C6A">
      <w:pPr>
        <w:snapToGrid w:val="0"/>
        <w:spacing w:before="156" w:beforeLines="50" w:after="156" w:afterLines="50" w:line="288" w:lineRule="auto"/>
        <w:ind w:firstLine="602"/>
        <w:jc w:val="center"/>
        <w:rPr>
          <w:b/>
          <w:sz w:val="30"/>
          <w:szCs w:val="30"/>
        </w:rPr>
      </w:pPr>
      <w:r>
        <w:rPr>
          <w:b/>
          <w:sz w:val="30"/>
          <w:szCs w:val="30"/>
        </w:rPr>
        <w:t>Manual Instructions</w:t>
      </w:r>
    </w:p>
    <w:p w14:paraId="6944C9F4">
      <w:pPr>
        <w:snapToGrid w:val="0"/>
        <w:spacing w:before="156" w:beforeLines="50" w:after="156" w:afterLines="50" w:line="360" w:lineRule="auto"/>
        <w:ind w:firstLine="480"/>
        <w:rPr>
          <w:sz w:val="24"/>
        </w:rPr>
      </w:pPr>
      <w:r>
        <w:rPr>
          <w:sz w:val="24"/>
        </w:rPr>
        <w:t>Dear customer, greetings! First of all, we greatly appreciate your choice of our company's testing instrument. To expedite your proficiency of the instrument, please make sure to read the instructions in manual in detail.</w:t>
      </w:r>
    </w:p>
    <w:p w14:paraId="0F04819E">
      <w:pPr>
        <w:snapToGrid w:val="0"/>
        <w:spacing w:before="156" w:beforeLines="50" w:after="156" w:afterLines="50" w:line="360" w:lineRule="auto"/>
        <w:ind w:firstLine="480"/>
        <w:rPr>
          <w:sz w:val="24"/>
        </w:rPr>
      </w:pPr>
      <w:r>
        <w:rPr>
          <w:sz w:val="24"/>
        </w:rPr>
        <w:t>This manual mainly introduces the use of this instrument. Please adhere to the instructions herein to ensure the safe and best operation of the instrument.</w:t>
      </w:r>
    </w:p>
    <w:p w14:paraId="3AED340F">
      <w:pPr>
        <w:snapToGrid w:val="0"/>
        <w:spacing w:before="156" w:beforeLines="50" w:line="240" w:lineRule="exact"/>
        <w:ind w:firstLine="0" w:firstLineChars="0"/>
        <w:rPr>
          <w:rFonts w:ascii="宋体" w:hAnsi="宋体" w:cs="宋体"/>
          <w:sz w:val="24"/>
        </w:rPr>
      </w:pPr>
    </w:p>
    <w:p w14:paraId="38F2FCFD">
      <w:pPr>
        <w:numPr>
          <w:ilvl w:val="0"/>
          <w:numId w:val="1"/>
        </w:numPr>
        <w:snapToGrid w:val="0"/>
        <w:spacing w:before="156" w:beforeLines="50" w:after="156" w:afterLines="50" w:line="288" w:lineRule="auto"/>
        <w:ind w:left="630" w:leftChars="300" w:firstLine="0" w:firstLineChars="0"/>
        <w:rPr>
          <w:rFonts w:ascii="宋体" w:hAnsi="宋体" w:cs="宋体"/>
          <w:b/>
          <w:sz w:val="24"/>
        </w:rPr>
      </w:pPr>
      <w:r>
        <w:drawing>
          <wp:anchor distT="0" distB="0" distL="114300" distR="114300" simplePos="0" relativeHeight="251659264" behindDoc="0" locked="0" layoutInCell="1" allowOverlap="1">
            <wp:simplePos x="0" y="0"/>
            <wp:positionH relativeFrom="column">
              <wp:posOffset>67310</wp:posOffset>
            </wp:positionH>
            <wp:positionV relativeFrom="paragraph">
              <wp:posOffset>92075</wp:posOffset>
            </wp:positionV>
            <wp:extent cx="1019175" cy="904875"/>
            <wp:effectExtent l="0" t="0" r="9525" b="9525"/>
            <wp:wrapSquare wrapText="bothSides"/>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pic:cNvPicPr>
                      <a:picLocks noChangeAspect="1"/>
                    </pic:cNvPicPr>
                  </pic:nvPicPr>
                  <pic:blipFill>
                    <a:blip r:embed="rId12"/>
                    <a:stretch>
                      <a:fillRect/>
                    </a:stretch>
                  </pic:blipFill>
                  <pic:spPr>
                    <a:xfrm>
                      <a:off x="0" y="0"/>
                      <a:ext cx="1019175" cy="904875"/>
                    </a:xfrm>
                    <a:prstGeom prst="rect">
                      <a:avLst/>
                    </a:prstGeom>
                    <a:noFill/>
                    <a:ln>
                      <a:noFill/>
                    </a:ln>
                  </pic:spPr>
                </pic:pic>
              </a:graphicData>
            </a:graphic>
          </wp:anchor>
        </w:drawing>
      </w:r>
      <w:r>
        <w:rPr>
          <w:sz w:val="24"/>
        </w:rPr>
        <w:t>Please comply with the national safety regulations for preventive testing of safety tools in the electric power industry, and any operation in flammable, explosive, and humid environments and other harsh conditions is prohibited;</w:t>
      </w:r>
    </w:p>
    <w:p w14:paraId="5CE05212">
      <w:pPr>
        <w:numPr>
          <w:ilvl w:val="0"/>
          <w:numId w:val="2"/>
        </w:numPr>
        <w:snapToGrid w:val="0"/>
        <w:spacing w:before="312" w:beforeLines="100" w:after="312" w:afterLines="100" w:line="288" w:lineRule="auto"/>
        <w:ind w:left="630" w:leftChars="300" w:firstLine="0" w:firstLineChars="0"/>
        <w:rPr>
          <w:rFonts w:ascii="宋体" w:hAnsi="宋体" w:cs="宋体"/>
          <w:b/>
          <w:sz w:val="24"/>
        </w:rPr>
      </w:pPr>
      <w:r>
        <w:rPr>
          <w:rFonts w:ascii="宋体" w:hAnsi="宋体" w:cs="宋体"/>
          <w:b/>
          <w:sz w:val="24"/>
        </w:rPr>
        <w:drawing>
          <wp:anchor distT="0" distB="0" distL="114300" distR="114300" simplePos="0" relativeHeight="251660288" behindDoc="0" locked="0" layoutInCell="1" allowOverlap="1">
            <wp:simplePos x="0" y="0"/>
            <wp:positionH relativeFrom="column">
              <wp:posOffset>58420</wp:posOffset>
            </wp:positionH>
            <wp:positionV relativeFrom="paragraph">
              <wp:posOffset>191135</wp:posOffset>
            </wp:positionV>
            <wp:extent cx="1047750" cy="865505"/>
            <wp:effectExtent l="0" t="0" r="0" b="0"/>
            <wp:wrapSquare wrapText="bothSides"/>
            <wp:docPr id="2"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0"/>
                    <pic:cNvPicPr>
                      <a:picLocks noChangeAspect="1"/>
                    </pic:cNvPicPr>
                  </pic:nvPicPr>
                  <pic:blipFill>
                    <a:blip r:embed="rId13"/>
                    <a:stretch>
                      <a:fillRect/>
                    </a:stretch>
                  </pic:blipFill>
                  <pic:spPr>
                    <a:xfrm>
                      <a:off x="0" y="0"/>
                      <a:ext cx="1047750" cy="865505"/>
                    </a:xfrm>
                    <a:prstGeom prst="rect">
                      <a:avLst/>
                    </a:prstGeom>
                    <a:noFill/>
                    <a:ln>
                      <a:noFill/>
                    </a:ln>
                  </pic:spPr>
                </pic:pic>
              </a:graphicData>
            </a:graphic>
          </wp:anchor>
        </w:drawing>
      </w:r>
      <w:r>
        <w:rPr>
          <w:b/>
          <w:sz w:val="24"/>
        </w:rPr>
        <w:t>This instrument is equipped with a large-capacity lithium battery, whose lifespan and performance are influenced by the frequency of charge and discharge cycles. If unused for a long time, conduct monthly charge and discharge maintenance on the battery.</w:t>
      </w:r>
    </w:p>
    <w:p w14:paraId="24B9666A">
      <w:pPr>
        <w:numPr>
          <w:ilvl w:val="0"/>
          <w:numId w:val="2"/>
        </w:numPr>
        <w:snapToGrid w:val="0"/>
        <w:spacing w:before="312" w:beforeLines="100" w:after="312" w:afterLines="100" w:line="288" w:lineRule="auto"/>
        <w:ind w:left="630" w:leftChars="300" w:firstLine="0" w:firstLineChars="0"/>
        <w:rPr>
          <w:rFonts w:ascii="宋体" w:hAnsi="宋体" w:cs="宋体"/>
          <w:sz w:val="24"/>
        </w:rPr>
      </w:pPr>
      <w:r>
        <w:rPr>
          <w:rFonts w:ascii="宋体" w:hAnsi="宋体" w:cs="宋体"/>
          <w:b/>
          <w:sz w:val="24"/>
        </w:rPr>
        <w:drawing>
          <wp:anchor distT="0" distB="0" distL="114300" distR="114300" simplePos="0" relativeHeight="251662336" behindDoc="0" locked="0" layoutInCell="1" allowOverlap="1">
            <wp:simplePos x="0" y="0"/>
            <wp:positionH relativeFrom="column">
              <wp:posOffset>165100</wp:posOffset>
            </wp:positionH>
            <wp:positionV relativeFrom="paragraph">
              <wp:posOffset>97155</wp:posOffset>
            </wp:positionV>
            <wp:extent cx="935990" cy="935990"/>
            <wp:effectExtent l="0" t="0" r="0" b="0"/>
            <wp:wrapSquare wrapText="bothSides"/>
            <wp:docPr id="6"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40"/>
                    <pic:cNvPicPr>
                      <a:picLocks noChangeAspect="1"/>
                    </pic:cNvPicPr>
                  </pic:nvPicPr>
                  <pic:blipFill>
                    <a:blip r:embed="rId14"/>
                    <a:stretch>
                      <a:fillRect/>
                    </a:stretch>
                  </pic:blipFill>
                  <pic:spPr>
                    <a:xfrm>
                      <a:off x="0" y="0"/>
                      <a:ext cx="935990" cy="935990"/>
                    </a:xfrm>
                    <a:prstGeom prst="rect">
                      <a:avLst/>
                    </a:prstGeom>
                    <a:noFill/>
                    <a:ln>
                      <a:noFill/>
                    </a:ln>
                  </pic:spPr>
                </pic:pic>
              </a:graphicData>
            </a:graphic>
          </wp:anchor>
        </w:drawing>
      </w:r>
      <w:r>
        <w:rPr>
          <w:b/>
          <w:sz w:val="24"/>
        </w:rPr>
        <w:t>Unauthorized disassembly of the instrument is prohibited without the permission of our company. Any instrument failure due to unauthorized disassembly shall not be covered by warranty or eligible for return, and for any personal or property damage arising therefrom, our company shall not be held responsible.</w:t>
      </w:r>
    </w:p>
    <w:p w14:paraId="779ABD3B">
      <w:pPr>
        <w:numPr>
          <w:ilvl w:val="0"/>
          <w:numId w:val="2"/>
        </w:numPr>
        <w:snapToGrid w:val="0"/>
        <w:spacing w:before="312" w:beforeLines="100" w:after="312" w:afterLines="100" w:line="288" w:lineRule="auto"/>
        <w:ind w:left="630" w:leftChars="300" w:firstLine="0" w:firstLineChars="0"/>
        <w:rPr>
          <w:b/>
          <w:sz w:val="28"/>
          <w:szCs w:val="28"/>
        </w:rPr>
      </w:pPr>
      <w:r>
        <w:drawing>
          <wp:anchor distT="0" distB="0" distL="114300" distR="114300" simplePos="0" relativeHeight="251661312" behindDoc="0" locked="0" layoutInCell="1" allowOverlap="1">
            <wp:simplePos x="0" y="0"/>
            <wp:positionH relativeFrom="column">
              <wp:posOffset>99060</wp:posOffset>
            </wp:positionH>
            <wp:positionV relativeFrom="paragraph">
              <wp:posOffset>207645</wp:posOffset>
            </wp:positionV>
            <wp:extent cx="1049020" cy="935990"/>
            <wp:effectExtent l="0" t="0" r="17780" b="16510"/>
            <wp:wrapSquare wrapText="bothSides"/>
            <wp:docPr id="5"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1"/>
                    <pic:cNvPicPr>
                      <a:picLocks noChangeAspect="1"/>
                    </pic:cNvPicPr>
                  </pic:nvPicPr>
                  <pic:blipFill>
                    <a:blip r:embed="rId15"/>
                    <a:stretch>
                      <a:fillRect/>
                    </a:stretch>
                  </pic:blipFill>
                  <pic:spPr>
                    <a:xfrm>
                      <a:off x="0" y="0"/>
                      <a:ext cx="1049020" cy="935990"/>
                    </a:xfrm>
                    <a:prstGeom prst="rect">
                      <a:avLst/>
                    </a:prstGeom>
                    <a:noFill/>
                    <a:ln>
                      <a:noFill/>
                    </a:ln>
                  </pic:spPr>
                </pic:pic>
              </a:graphicData>
            </a:graphic>
          </wp:anchor>
        </w:drawing>
      </w:r>
      <w:r>
        <w:rPr>
          <w:sz w:val="24"/>
        </w:rPr>
        <w:t>To continuously improve and optimize the product functions, we will update the specifications of this instrument periodically. Therefore, the instrument you are using may have slight differences from the manual. If you have any questions, please call our company and we will send professional engineers to provide operation guidance.</w:t>
      </w:r>
    </w:p>
    <w:p w14:paraId="065A80A4">
      <w:pPr>
        <w:snapToGrid w:val="0"/>
        <w:spacing w:before="312" w:beforeLines="100" w:after="312" w:afterLines="100" w:line="288" w:lineRule="auto"/>
        <w:ind w:left="1050" w:leftChars="500" w:firstLine="0" w:firstLineChars="0"/>
        <w:rPr>
          <w:b/>
          <w:sz w:val="28"/>
          <w:szCs w:val="28"/>
        </w:rPr>
      </w:pPr>
    </w:p>
    <w:p w14:paraId="5905BEF6">
      <w:pPr>
        <w:snapToGrid w:val="0"/>
        <w:spacing w:before="312" w:beforeLines="100" w:after="312" w:afterLines="100" w:line="288" w:lineRule="auto"/>
        <w:ind w:firstLine="0" w:firstLineChars="0"/>
        <w:jc w:val="center"/>
        <w:rPr>
          <w:b/>
          <w:sz w:val="28"/>
          <w:szCs w:val="28"/>
        </w:rPr>
      </w:pPr>
      <w:r>
        <w:rPr>
          <w:b/>
          <w:sz w:val="28"/>
          <w:szCs w:val="28"/>
        </w:rPr>
        <w:br w:type="page"/>
      </w:r>
      <w:r>
        <w:rPr>
          <w:b/>
          <w:sz w:val="28"/>
        </w:rPr>
        <w:t>Contents</w:t>
      </w:r>
    </w:p>
    <w:p w14:paraId="4C7BC3B9">
      <w:pPr>
        <w:pStyle w:val="8"/>
        <w:tabs>
          <w:tab w:val="right" w:leader="dot" w:pos="8721"/>
        </w:tabs>
        <w:spacing w:line="480" w:lineRule="auto"/>
        <w:ind w:firstLine="0" w:firstLineChars="0"/>
        <w:rPr>
          <w:rFonts w:asciiTheme="minorHAnsi" w:hAnsiTheme="minorHAnsi" w:eastAsiaTheme="minorEastAsia" w:cstheme="minorBidi"/>
          <w:sz w:val="24"/>
        </w:rPr>
      </w:pPr>
      <w:r>
        <w:rPr>
          <w:rFonts w:hint="eastAsia"/>
          <w:sz w:val="24"/>
        </w:rPr>
        <w:t xml:space="preserve">    </w:t>
      </w:r>
      <w:r>
        <w:rPr>
          <w:sz w:val="24"/>
        </w:rPr>
        <w:fldChar w:fldCharType="begin"/>
      </w:r>
      <w:r>
        <w:rPr>
          <w:rFonts w:hint="eastAsia"/>
          <w:sz w:val="24"/>
        </w:rPr>
        <w:instrText xml:space="preserve">TOC \o "1-3" \h \z \u</w:instrText>
      </w:r>
      <w:r>
        <w:rPr>
          <w:sz w:val="24"/>
        </w:rPr>
        <w:fldChar w:fldCharType="separate"/>
      </w:r>
      <w:r>
        <w:fldChar w:fldCharType="begin"/>
      </w:r>
      <w:r>
        <w:instrText xml:space="preserve"> HYPERLINK \l "_Toc145579740" </w:instrText>
      </w:r>
      <w:r>
        <w:fldChar w:fldCharType="separate"/>
      </w:r>
      <w:r>
        <w:rPr>
          <w:rStyle w:val="13"/>
          <w:sz w:val="24"/>
        </w:rPr>
        <w:t>I. Overview</w:t>
      </w:r>
      <w:r>
        <w:rPr>
          <w:sz w:val="24"/>
        </w:rPr>
        <w:tab/>
      </w:r>
      <w:r>
        <w:rPr>
          <w:rFonts w:hint="eastAsia"/>
          <w:sz w:val="24"/>
        </w:rPr>
        <w:t>3</w:t>
      </w:r>
      <w:r>
        <w:rPr>
          <w:rFonts w:hint="eastAsia"/>
          <w:sz w:val="24"/>
        </w:rPr>
        <w:fldChar w:fldCharType="end"/>
      </w:r>
    </w:p>
    <w:p w14:paraId="431080AD">
      <w:pPr>
        <w:pStyle w:val="8"/>
        <w:tabs>
          <w:tab w:val="right" w:leader="dot" w:pos="8721"/>
        </w:tabs>
        <w:spacing w:line="480" w:lineRule="auto"/>
        <w:ind w:firstLine="420"/>
        <w:rPr>
          <w:rFonts w:asciiTheme="minorHAnsi" w:hAnsiTheme="minorHAnsi" w:eastAsiaTheme="minorEastAsia" w:cstheme="minorBidi"/>
          <w:sz w:val="24"/>
        </w:rPr>
      </w:pPr>
      <w:r>
        <w:fldChar w:fldCharType="begin"/>
      </w:r>
      <w:r>
        <w:instrText xml:space="preserve"> HYPERLINK \l "_Toc145579741" </w:instrText>
      </w:r>
      <w:r>
        <w:fldChar w:fldCharType="separate"/>
      </w:r>
      <w:r>
        <w:rPr>
          <w:rStyle w:val="13"/>
          <w:sz w:val="24"/>
        </w:rPr>
        <w:t>II. Safety measures</w:t>
      </w:r>
      <w:r>
        <w:rPr>
          <w:sz w:val="24"/>
        </w:rPr>
        <w:tab/>
      </w:r>
      <w:r>
        <w:rPr>
          <w:rFonts w:hint="eastAsia"/>
          <w:sz w:val="24"/>
        </w:rPr>
        <w:t>3</w:t>
      </w:r>
      <w:r>
        <w:rPr>
          <w:rFonts w:hint="eastAsia"/>
          <w:sz w:val="24"/>
        </w:rPr>
        <w:fldChar w:fldCharType="end"/>
      </w:r>
    </w:p>
    <w:p w14:paraId="6B2538F9">
      <w:pPr>
        <w:pStyle w:val="8"/>
        <w:tabs>
          <w:tab w:val="right" w:leader="dot" w:pos="8721"/>
        </w:tabs>
        <w:spacing w:line="480" w:lineRule="auto"/>
        <w:ind w:firstLine="420"/>
        <w:rPr>
          <w:rFonts w:asciiTheme="minorHAnsi" w:hAnsiTheme="minorHAnsi" w:eastAsiaTheme="minorEastAsia" w:cstheme="minorBidi"/>
          <w:sz w:val="24"/>
        </w:rPr>
      </w:pPr>
      <w:r>
        <w:fldChar w:fldCharType="begin"/>
      </w:r>
      <w:r>
        <w:instrText xml:space="preserve"> HYPERLINK \l "_Toc145579742" </w:instrText>
      </w:r>
      <w:r>
        <w:fldChar w:fldCharType="separate"/>
      </w:r>
      <w:r>
        <w:rPr>
          <w:rStyle w:val="13"/>
          <w:sz w:val="24"/>
        </w:rPr>
        <w:t>III. Performance characteristics</w:t>
      </w:r>
      <w:r>
        <w:rPr>
          <w:sz w:val="24"/>
        </w:rPr>
        <w:tab/>
      </w:r>
      <w:r>
        <w:rPr>
          <w:rFonts w:hint="eastAsia"/>
          <w:sz w:val="24"/>
        </w:rPr>
        <w:t>3</w:t>
      </w:r>
      <w:r>
        <w:rPr>
          <w:rFonts w:hint="eastAsia"/>
          <w:sz w:val="24"/>
        </w:rPr>
        <w:fldChar w:fldCharType="end"/>
      </w:r>
    </w:p>
    <w:p w14:paraId="0E079748">
      <w:pPr>
        <w:pStyle w:val="8"/>
        <w:tabs>
          <w:tab w:val="right" w:leader="dot" w:pos="8721"/>
        </w:tabs>
        <w:spacing w:line="480" w:lineRule="auto"/>
        <w:ind w:firstLine="420"/>
        <w:rPr>
          <w:rFonts w:asciiTheme="minorHAnsi" w:hAnsiTheme="minorHAnsi" w:eastAsiaTheme="minorEastAsia" w:cstheme="minorBidi"/>
          <w:sz w:val="24"/>
        </w:rPr>
      </w:pPr>
      <w:r>
        <w:fldChar w:fldCharType="begin"/>
      </w:r>
      <w:r>
        <w:instrText xml:space="preserve"> HYPERLINK \l "_Toc145579743" </w:instrText>
      </w:r>
      <w:r>
        <w:fldChar w:fldCharType="separate"/>
      </w:r>
      <w:r>
        <w:rPr>
          <w:rStyle w:val="13"/>
          <w:sz w:val="24"/>
        </w:rPr>
        <w:t>IV. Technical indicators</w:t>
      </w:r>
      <w:r>
        <w:rPr>
          <w:sz w:val="24"/>
        </w:rPr>
        <w:tab/>
      </w:r>
      <w:r>
        <w:rPr>
          <w:rFonts w:hint="eastAsia"/>
          <w:sz w:val="24"/>
        </w:rPr>
        <w:t>4</w:t>
      </w:r>
      <w:r>
        <w:rPr>
          <w:rFonts w:hint="eastAsia"/>
          <w:sz w:val="24"/>
        </w:rPr>
        <w:fldChar w:fldCharType="end"/>
      </w:r>
    </w:p>
    <w:p w14:paraId="54434B25">
      <w:pPr>
        <w:pStyle w:val="8"/>
        <w:tabs>
          <w:tab w:val="right" w:leader="dot" w:pos="8721"/>
        </w:tabs>
        <w:spacing w:line="480" w:lineRule="auto"/>
        <w:ind w:firstLine="420"/>
        <w:rPr>
          <w:rFonts w:asciiTheme="minorHAnsi" w:hAnsiTheme="minorHAnsi" w:eastAsiaTheme="minorEastAsia" w:cstheme="minorBidi"/>
          <w:sz w:val="24"/>
        </w:rPr>
      </w:pPr>
      <w:r>
        <w:fldChar w:fldCharType="begin"/>
      </w:r>
      <w:r>
        <w:instrText xml:space="preserve"> HYPERLINK \l "_Toc145579744" </w:instrText>
      </w:r>
      <w:r>
        <w:fldChar w:fldCharType="separate"/>
      </w:r>
      <w:r>
        <w:rPr>
          <w:rStyle w:val="13"/>
          <w:sz w:val="24"/>
        </w:rPr>
        <w:t>V. System introduction</w:t>
      </w:r>
      <w:r>
        <w:rPr>
          <w:sz w:val="24"/>
        </w:rPr>
        <w:tab/>
      </w:r>
      <w:r>
        <w:rPr>
          <w:rFonts w:hint="eastAsia"/>
          <w:sz w:val="24"/>
        </w:rPr>
        <w:t>5</w:t>
      </w:r>
      <w:r>
        <w:rPr>
          <w:rFonts w:hint="eastAsia"/>
          <w:sz w:val="24"/>
        </w:rPr>
        <w:fldChar w:fldCharType="end"/>
      </w:r>
    </w:p>
    <w:p w14:paraId="34A6A7CE">
      <w:pPr>
        <w:pStyle w:val="8"/>
        <w:tabs>
          <w:tab w:val="right" w:leader="dot" w:pos="8721"/>
        </w:tabs>
        <w:spacing w:line="480" w:lineRule="auto"/>
        <w:ind w:firstLine="420"/>
        <w:rPr>
          <w:rFonts w:asciiTheme="minorHAnsi" w:hAnsiTheme="minorHAnsi" w:eastAsiaTheme="minorEastAsia" w:cstheme="minorBidi"/>
          <w:sz w:val="24"/>
        </w:rPr>
      </w:pPr>
      <w:r>
        <w:fldChar w:fldCharType="begin"/>
      </w:r>
      <w:r>
        <w:instrText xml:space="preserve"> HYPERLINK \l "_Toc145579745" </w:instrText>
      </w:r>
      <w:r>
        <w:fldChar w:fldCharType="separate"/>
      </w:r>
      <w:r>
        <w:rPr>
          <w:rStyle w:val="13"/>
          <w:sz w:val="24"/>
        </w:rPr>
        <w:t>VI. Test and operation method</w:t>
      </w:r>
      <w:r>
        <w:rPr>
          <w:sz w:val="24"/>
        </w:rPr>
        <w:tab/>
      </w:r>
      <w:r>
        <w:rPr>
          <w:rFonts w:hint="eastAsia"/>
          <w:sz w:val="24"/>
        </w:rPr>
        <w:t>7</w:t>
      </w:r>
      <w:r>
        <w:rPr>
          <w:rFonts w:hint="eastAsia"/>
          <w:sz w:val="24"/>
        </w:rPr>
        <w:fldChar w:fldCharType="end"/>
      </w:r>
    </w:p>
    <w:p w14:paraId="788049BF">
      <w:pPr>
        <w:pStyle w:val="8"/>
        <w:tabs>
          <w:tab w:val="right" w:leader="dot" w:pos="8721"/>
        </w:tabs>
        <w:spacing w:line="480" w:lineRule="auto"/>
        <w:ind w:firstLine="420"/>
        <w:rPr>
          <w:rFonts w:asciiTheme="minorHAnsi" w:hAnsiTheme="minorHAnsi" w:eastAsiaTheme="minorEastAsia" w:cstheme="minorBidi"/>
          <w:sz w:val="24"/>
        </w:rPr>
      </w:pPr>
      <w:r>
        <w:fldChar w:fldCharType="begin"/>
      </w:r>
      <w:r>
        <w:instrText xml:space="preserve"> HYPERLINK \l "_Toc145579746" </w:instrText>
      </w:r>
      <w:r>
        <w:fldChar w:fldCharType="separate"/>
      </w:r>
      <w:r>
        <w:rPr>
          <w:rStyle w:val="13"/>
          <w:sz w:val="24"/>
        </w:rPr>
        <w:t>VII. Precautions</w:t>
      </w:r>
      <w:r>
        <w:rPr>
          <w:sz w:val="24"/>
        </w:rPr>
        <w:tab/>
      </w:r>
      <w:r>
        <w:rPr>
          <w:sz w:val="24"/>
        </w:rPr>
        <w:fldChar w:fldCharType="begin"/>
      </w:r>
      <w:r>
        <w:rPr>
          <w:sz w:val="24"/>
        </w:rPr>
        <w:instrText xml:space="preserve"> PAGEREF _Toc145579746 \h </w:instrText>
      </w:r>
      <w:r>
        <w:rPr>
          <w:sz w:val="24"/>
        </w:rPr>
        <w:fldChar w:fldCharType="separate"/>
      </w:r>
      <w:r>
        <w:rPr>
          <w:sz w:val="24"/>
        </w:rPr>
        <w:t>18</w:t>
      </w:r>
      <w:r>
        <w:rPr>
          <w:sz w:val="24"/>
        </w:rPr>
        <w:fldChar w:fldCharType="end"/>
      </w:r>
      <w:r>
        <w:rPr>
          <w:sz w:val="24"/>
        </w:rPr>
        <w:fldChar w:fldCharType="end"/>
      </w:r>
    </w:p>
    <w:p w14:paraId="6C9A2244">
      <w:pPr>
        <w:pStyle w:val="8"/>
        <w:tabs>
          <w:tab w:val="right" w:leader="dot" w:pos="8721"/>
        </w:tabs>
        <w:spacing w:line="480" w:lineRule="auto"/>
        <w:ind w:firstLine="420"/>
        <w:rPr>
          <w:rFonts w:asciiTheme="minorHAnsi" w:hAnsiTheme="minorHAnsi" w:eastAsiaTheme="minorEastAsia" w:cstheme="minorBidi"/>
          <w:sz w:val="24"/>
        </w:rPr>
      </w:pPr>
      <w:r>
        <w:fldChar w:fldCharType="begin"/>
      </w:r>
      <w:r>
        <w:instrText xml:space="preserve"> HYPERLINK \l "_Toc145579747" </w:instrText>
      </w:r>
      <w:r>
        <w:fldChar w:fldCharType="separate"/>
      </w:r>
      <w:r>
        <w:rPr>
          <w:rStyle w:val="13"/>
          <w:sz w:val="24"/>
        </w:rPr>
        <w:t>VIII. Instrument packages</w:t>
      </w:r>
      <w:r>
        <w:rPr>
          <w:sz w:val="24"/>
        </w:rPr>
        <w:tab/>
      </w:r>
      <w:r>
        <w:rPr>
          <w:sz w:val="24"/>
        </w:rPr>
        <w:fldChar w:fldCharType="begin"/>
      </w:r>
      <w:r>
        <w:rPr>
          <w:sz w:val="24"/>
        </w:rPr>
        <w:instrText xml:space="preserve"> PAGEREF _Toc145579747 \h </w:instrText>
      </w:r>
      <w:r>
        <w:rPr>
          <w:sz w:val="24"/>
        </w:rPr>
        <w:fldChar w:fldCharType="separate"/>
      </w:r>
      <w:r>
        <w:rPr>
          <w:sz w:val="24"/>
        </w:rPr>
        <w:t>19</w:t>
      </w:r>
      <w:r>
        <w:rPr>
          <w:sz w:val="24"/>
        </w:rPr>
        <w:fldChar w:fldCharType="end"/>
      </w:r>
      <w:r>
        <w:rPr>
          <w:sz w:val="24"/>
        </w:rPr>
        <w:fldChar w:fldCharType="end"/>
      </w:r>
    </w:p>
    <w:p w14:paraId="70216A89">
      <w:pPr>
        <w:pStyle w:val="8"/>
        <w:tabs>
          <w:tab w:val="right" w:leader="dot" w:pos="8721"/>
        </w:tabs>
        <w:spacing w:line="480" w:lineRule="auto"/>
        <w:ind w:firstLine="420"/>
        <w:rPr>
          <w:rFonts w:asciiTheme="minorHAnsi" w:hAnsiTheme="minorHAnsi" w:eastAsiaTheme="minorEastAsia" w:cstheme="minorBidi"/>
          <w:szCs w:val="22"/>
        </w:rPr>
      </w:pPr>
      <w:r>
        <w:fldChar w:fldCharType="begin"/>
      </w:r>
      <w:r>
        <w:instrText xml:space="preserve"> HYPERLINK \l "_Toc145579748" </w:instrText>
      </w:r>
      <w:r>
        <w:fldChar w:fldCharType="separate"/>
      </w:r>
      <w:r>
        <w:rPr>
          <w:rStyle w:val="13"/>
          <w:sz w:val="24"/>
        </w:rPr>
        <w:t>IX. After-sales service</w:t>
      </w:r>
      <w:r>
        <w:rPr>
          <w:sz w:val="24"/>
        </w:rPr>
        <w:tab/>
      </w:r>
      <w:r>
        <w:rPr>
          <w:sz w:val="24"/>
        </w:rPr>
        <w:fldChar w:fldCharType="begin"/>
      </w:r>
      <w:r>
        <w:rPr>
          <w:sz w:val="24"/>
        </w:rPr>
        <w:instrText xml:space="preserve"> PAGEREF _Toc145579748 \h </w:instrText>
      </w:r>
      <w:r>
        <w:rPr>
          <w:sz w:val="24"/>
        </w:rPr>
        <w:fldChar w:fldCharType="separate"/>
      </w:r>
      <w:r>
        <w:rPr>
          <w:sz w:val="24"/>
        </w:rPr>
        <w:t>19</w:t>
      </w:r>
      <w:r>
        <w:rPr>
          <w:sz w:val="24"/>
        </w:rPr>
        <w:fldChar w:fldCharType="end"/>
      </w:r>
      <w:r>
        <w:rPr>
          <w:sz w:val="24"/>
        </w:rPr>
        <w:fldChar w:fldCharType="end"/>
      </w:r>
    </w:p>
    <w:p w14:paraId="4D00EFE5">
      <w:pPr>
        <w:spacing w:line="480" w:lineRule="auto"/>
        <w:ind w:firstLine="0" w:firstLineChars="0"/>
        <w:rPr>
          <w:b/>
          <w:iCs/>
          <w:sz w:val="24"/>
        </w:rPr>
      </w:pPr>
      <w:r>
        <w:rPr>
          <w:sz w:val="24"/>
        </w:rPr>
        <w:fldChar w:fldCharType="end"/>
      </w:r>
      <w:bookmarkStart w:id="0" w:name="_Toc414273028"/>
      <w:r>
        <w:rPr>
          <w:b/>
          <w:iCs/>
          <w:sz w:val="24"/>
        </w:rPr>
        <w:t xml:space="preserve"> </w:t>
      </w:r>
    </w:p>
    <w:p w14:paraId="38001436">
      <w:pPr>
        <w:spacing w:line="480" w:lineRule="auto"/>
        <w:ind w:firstLine="0" w:firstLineChars="0"/>
        <w:rPr>
          <w:b/>
          <w:iCs/>
          <w:sz w:val="24"/>
        </w:rPr>
      </w:pPr>
    </w:p>
    <w:p w14:paraId="7614244B">
      <w:pPr>
        <w:spacing w:line="480" w:lineRule="auto"/>
        <w:ind w:firstLine="0" w:firstLineChars="0"/>
        <w:rPr>
          <w:b/>
          <w:iCs/>
          <w:sz w:val="24"/>
        </w:rPr>
      </w:pPr>
    </w:p>
    <w:p w14:paraId="7DC158CA">
      <w:pPr>
        <w:spacing w:line="480" w:lineRule="auto"/>
        <w:ind w:firstLine="0" w:firstLineChars="0"/>
        <w:rPr>
          <w:b/>
          <w:iCs/>
          <w:sz w:val="24"/>
        </w:rPr>
      </w:pPr>
    </w:p>
    <w:p w14:paraId="7D782DD9">
      <w:pPr>
        <w:spacing w:line="480" w:lineRule="auto"/>
        <w:ind w:firstLine="0" w:firstLineChars="0"/>
        <w:rPr>
          <w:b/>
          <w:iCs/>
          <w:sz w:val="24"/>
        </w:rPr>
      </w:pPr>
    </w:p>
    <w:p w14:paraId="0683D067">
      <w:pPr>
        <w:spacing w:line="480" w:lineRule="auto"/>
        <w:ind w:firstLine="0" w:firstLineChars="0"/>
        <w:rPr>
          <w:b/>
          <w:iCs/>
          <w:sz w:val="24"/>
        </w:rPr>
      </w:pPr>
    </w:p>
    <w:p w14:paraId="09DEA88F">
      <w:pPr>
        <w:spacing w:line="480" w:lineRule="auto"/>
        <w:ind w:firstLine="0" w:firstLineChars="0"/>
        <w:rPr>
          <w:b/>
          <w:iCs/>
          <w:sz w:val="24"/>
        </w:rPr>
      </w:pPr>
    </w:p>
    <w:p w14:paraId="3DF51EB6">
      <w:pPr>
        <w:spacing w:line="480" w:lineRule="auto"/>
        <w:ind w:firstLine="0" w:firstLineChars="0"/>
        <w:rPr>
          <w:b/>
          <w:iCs/>
          <w:sz w:val="24"/>
        </w:rPr>
      </w:pPr>
    </w:p>
    <w:p w14:paraId="7FA7FEC2">
      <w:pPr>
        <w:spacing w:line="480" w:lineRule="auto"/>
        <w:ind w:firstLine="0" w:firstLineChars="0"/>
        <w:rPr>
          <w:b/>
          <w:iCs/>
          <w:sz w:val="24"/>
        </w:rPr>
      </w:pPr>
    </w:p>
    <w:p w14:paraId="6AE56617">
      <w:pPr>
        <w:spacing w:before="156" w:beforeLines="50" w:line="240" w:lineRule="auto"/>
        <w:ind w:firstLine="198" w:firstLineChars="82"/>
        <w:jc w:val="center"/>
        <w:rPr>
          <w:b/>
          <w:iCs/>
          <w:sz w:val="24"/>
        </w:rPr>
      </w:pPr>
      <w:r>
        <w:rPr>
          <w:b/>
          <w:sz w:val="24"/>
        </w:rPr>
        <w:t>Please read the operation manual carefully before using the instrument. It is the user's responsibility to ensure safety.</w:t>
      </w:r>
    </w:p>
    <w:p w14:paraId="7D8A65E1">
      <w:pPr>
        <w:spacing w:before="156" w:beforeLines="50" w:line="240" w:lineRule="auto"/>
        <w:ind w:firstLine="198" w:firstLineChars="82"/>
        <w:jc w:val="center"/>
        <w:rPr>
          <w:b/>
          <w:iCs/>
          <w:sz w:val="24"/>
        </w:rPr>
      </w:pPr>
      <w:r>
        <w:rPr>
          <w:b/>
          <w:sz w:val="24"/>
        </w:rPr>
        <w:t xml:space="preserve">Version number of this manual: </w:t>
      </w:r>
      <w:r>
        <w:rPr>
          <w:rFonts w:hint="eastAsia"/>
          <w:b/>
          <w:sz w:val="24"/>
        </w:rPr>
        <w:t>20240131</w:t>
      </w:r>
    </w:p>
    <w:p w14:paraId="41736DBC">
      <w:pPr>
        <w:spacing w:before="156" w:beforeLines="50" w:line="240" w:lineRule="auto"/>
        <w:ind w:firstLine="198" w:firstLineChars="82"/>
        <w:jc w:val="center"/>
        <w:rPr>
          <w:b/>
          <w:sz w:val="24"/>
        </w:rPr>
      </w:pPr>
      <w:r>
        <w:rPr>
          <w:b/>
          <w:sz w:val="24"/>
        </w:rPr>
        <w:t>This manual is subject to change without notice.</w:t>
      </w:r>
    </w:p>
    <w:p w14:paraId="0445AF06">
      <w:pPr>
        <w:spacing w:before="156" w:beforeLines="50" w:after="156" w:afterLines="50" w:line="288" w:lineRule="auto"/>
        <w:ind w:firstLine="172" w:firstLineChars="82"/>
        <w:jc w:val="left"/>
        <w:rPr>
          <w:b/>
          <w:bCs/>
          <w:kern w:val="44"/>
          <w:sz w:val="28"/>
          <w:szCs w:val="44"/>
        </w:rPr>
      </w:pPr>
      <w:r>
        <w:br w:type="page"/>
      </w:r>
      <w:bookmarkEnd w:id="0"/>
      <w:bookmarkStart w:id="1" w:name="_Toc145579740"/>
      <w:r>
        <w:rPr>
          <w:b/>
          <w:bCs/>
          <w:kern w:val="44"/>
          <w:sz w:val="28"/>
          <w:szCs w:val="44"/>
        </w:rPr>
        <w:t>I. Overview</w:t>
      </w:r>
      <w:bookmarkEnd w:id="1"/>
    </w:p>
    <w:p w14:paraId="005837F9">
      <w:pPr>
        <w:pStyle w:val="19"/>
        <w:tabs>
          <w:tab w:val="left" w:pos="4962"/>
        </w:tabs>
        <w:spacing w:before="156" w:beforeLines="50" w:after="156" w:afterLines="50" w:line="288" w:lineRule="auto"/>
        <w:ind w:firstLine="480"/>
        <w:rPr>
          <w:sz w:val="24"/>
        </w:rPr>
      </w:pPr>
      <w:r>
        <w:rPr>
          <w:sz w:val="24"/>
        </w:rPr>
        <w:t>The measurement of direct current (DC) resistance is a required test item for the factory test, installation and handover test of semi-finished products and finished products in the manufacturing of inductive coils such as transformer, mutual inductor, reactor and electromagnetic operating mechanism, as well as the preventive test of the power department, which can effectively identify the manufacturing defects such as material selection, welding, loose connection, missing strand and disconnection of inductive coils and the hidden dangers after operation. In order to meet the needs of rapid measurement of inductive coil DC resistance, we have developed DC resistance tester depending on our own technical advantages. The instrument adopts a new power supply technology, which features small size, light weight, large output current, wide range, digital display, two power supply modes including mains supply and internal lithium battery. The whole instrument is controlled by a single chip microcomputer and has the functions of multi-current gear selection, data processing display, discharge indication, etc. The instrument features high test precision and simple operation, which can realize the rapid measurement of DC resistance.</w:t>
      </w:r>
    </w:p>
    <w:p w14:paraId="5368072D">
      <w:pPr>
        <w:pStyle w:val="2"/>
        <w:spacing w:before="156" w:beforeLines="50" w:after="156" w:afterLines="50" w:line="288" w:lineRule="auto"/>
        <w:ind w:firstLine="0" w:firstLineChars="0"/>
        <w:rPr>
          <w:sz w:val="28"/>
          <w:szCs w:val="28"/>
        </w:rPr>
      </w:pPr>
      <w:bookmarkStart w:id="2" w:name="_Toc145579741"/>
      <w:r>
        <w:rPr>
          <w:sz w:val="28"/>
        </w:rPr>
        <w:t>II. Safety measures</w:t>
      </w:r>
      <w:bookmarkEnd w:id="2"/>
    </w:p>
    <w:p w14:paraId="58E81A45">
      <w:pPr>
        <w:spacing w:before="156" w:beforeLines="50" w:after="156" w:afterLines="50" w:line="288" w:lineRule="auto"/>
        <w:ind w:left="210" w:leftChars="100" w:firstLine="0" w:firstLineChars="0"/>
        <w:rPr>
          <w:kern w:val="0"/>
          <w:sz w:val="24"/>
        </w:rPr>
      </w:pPr>
      <w:r>
        <w:rPr>
          <w:sz w:val="24"/>
        </w:rPr>
        <w:t>1. Be sure to read this manual carefully before using the instrument.</w:t>
      </w:r>
    </w:p>
    <w:p w14:paraId="5B44B7E2">
      <w:pPr>
        <w:spacing w:before="156" w:beforeLines="50" w:after="156" w:afterLines="50" w:line="288" w:lineRule="auto"/>
        <w:ind w:left="210" w:leftChars="100" w:firstLine="0" w:firstLineChars="0"/>
        <w:rPr>
          <w:kern w:val="0"/>
          <w:sz w:val="24"/>
        </w:rPr>
      </w:pPr>
      <w:r>
        <w:rPr>
          <w:sz w:val="24"/>
        </w:rPr>
        <w:t>2. The instrument can be used both indoors and outdoors, but it should be kept away from rain, and corrosive gas. Violent vibration of the instrument should be avoided.</w:t>
      </w:r>
    </w:p>
    <w:p w14:paraId="764F4BBD">
      <w:pPr>
        <w:spacing w:before="156" w:beforeLines="50" w:after="156" w:afterLines="50" w:line="288" w:lineRule="auto"/>
        <w:ind w:left="210" w:leftChars="100" w:firstLine="0" w:firstLineChars="0"/>
        <w:rPr>
          <w:kern w:val="0"/>
          <w:sz w:val="24"/>
        </w:rPr>
      </w:pPr>
      <w:r>
        <w:rPr>
          <w:sz w:val="24"/>
        </w:rPr>
        <w:t>3. Repair, maintenance and adjustment of instruments should be performed by professionals.</w:t>
      </w:r>
    </w:p>
    <w:p w14:paraId="5B198E6A">
      <w:pPr>
        <w:spacing w:before="156" w:beforeLines="50" w:after="156" w:afterLines="50" w:line="288" w:lineRule="auto"/>
        <w:ind w:left="210" w:leftChars="100" w:firstLine="0" w:firstLineChars="0"/>
        <w:rPr>
          <w:kern w:val="0"/>
          <w:sz w:val="24"/>
        </w:rPr>
      </w:pPr>
      <w:r>
        <w:rPr>
          <w:sz w:val="24"/>
        </w:rPr>
        <w:t>4. After the test, be sure to wait for the discharge alarm to stop before turning off the power supply and removing the test line.</w:t>
      </w:r>
    </w:p>
    <w:p w14:paraId="7E7962FA">
      <w:pPr>
        <w:spacing w:before="156" w:beforeLines="50" w:after="156" w:afterLines="50" w:line="288" w:lineRule="auto"/>
        <w:ind w:left="210" w:leftChars="100" w:firstLine="0" w:firstLineChars="0"/>
        <w:rPr>
          <w:kern w:val="0"/>
          <w:sz w:val="24"/>
        </w:rPr>
      </w:pPr>
      <w:r>
        <w:rPr>
          <w:sz w:val="24"/>
        </w:rPr>
        <w:t>5. When measuring the no-load voltage regulation transformer, be sure to switch the gear after the discharge indication alarm stops.</w:t>
      </w:r>
    </w:p>
    <w:p w14:paraId="11D7154C">
      <w:pPr>
        <w:spacing w:before="156" w:beforeLines="50" w:after="156" w:afterLines="50" w:line="288" w:lineRule="auto"/>
        <w:ind w:left="210" w:leftChars="100" w:firstLine="0" w:firstLineChars="0"/>
        <w:rPr>
          <w:sz w:val="24"/>
        </w:rPr>
      </w:pPr>
      <w:r>
        <w:rPr>
          <w:sz w:val="24"/>
        </w:rPr>
        <w:t>6. During the testing process, it is prohibited to move the testing clamp and disconnect the power supply circuit.</w:t>
      </w:r>
    </w:p>
    <w:p w14:paraId="4CEF2F60">
      <w:pPr>
        <w:spacing w:before="156" w:beforeLines="50" w:after="156" w:afterLines="50" w:line="288" w:lineRule="auto"/>
        <w:ind w:left="210" w:leftChars="100" w:firstLine="0" w:firstLineChars="0"/>
        <w:rPr>
          <w:kern w:val="0"/>
          <w:sz w:val="24"/>
        </w:rPr>
      </w:pPr>
    </w:p>
    <w:p w14:paraId="0358BD7C">
      <w:pPr>
        <w:pStyle w:val="2"/>
        <w:spacing w:before="156" w:beforeLines="50" w:after="156" w:afterLines="50" w:line="288" w:lineRule="auto"/>
        <w:ind w:firstLine="0" w:firstLineChars="0"/>
        <w:rPr>
          <w:sz w:val="28"/>
          <w:szCs w:val="28"/>
        </w:rPr>
      </w:pPr>
      <w:bookmarkStart w:id="3" w:name="_Toc145579742"/>
      <w:r>
        <w:rPr>
          <w:sz w:val="28"/>
        </w:rPr>
        <w:t>III. Performance characteristics</w:t>
      </w:r>
      <w:bookmarkEnd w:id="3"/>
    </w:p>
    <w:p w14:paraId="7E69EC59">
      <w:pPr>
        <w:pStyle w:val="19"/>
        <w:spacing w:before="156" w:beforeLines="50" w:after="156" w:afterLines="50" w:line="288" w:lineRule="auto"/>
        <w:ind w:left="210" w:leftChars="100" w:firstLine="0" w:firstLineChars="0"/>
        <w:rPr>
          <w:rFonts w:cs="宋体"/>
          <w:kern w:val="0"/>
          <w:sz w:val="24"/>
        </w:rPr>
      </w:pPr>
      <w:bookmarkStart w:id="4" w:name="OLE_LINK1"/>
      <w:r>
        <w:rPr>
          <w:sz w:val="24"/>
        </w:rPr>
        <w:t>1. The instrument has large output current and light weight.</w:t>
      </w:r>
    </w:p>
    <w:p w14:paraId="409D1C46">
      <w:pPr>
        <w:pStyle w:val="19"/>
        <w:spacing w:before="156" w:beforeLines="50" w:after="156" w:afterLines="50" w:line="288" w:lineRule="auto"/>
        <w:ind w:left="210" w:leftChars="100" w:firstLine="0" w:firstLineChars="0"/>
        <w:rPr>
          <w:rFonts w:cs="宋体"/>
          <w:kern w:val="0"/>
          <w:sz w:val="24"/>
        </w:rPr>
      </w:pPr>
      <w:r>
        <w:rPr>
          <w:sz w:val="24"/>
        </w:rPr>
        <w:t>2. The instrument provides 7 output current options, the maximum output current being 10A.</w:t>
      </w:r>
    </w:p>
    <w:p w14:paraId="665292B4">
      <w:pPr>
        <w:pStyle w:val="19"/>
        <w:spacing w:before="156" w:beforeLines="50" w:after="156" w:afterLines="50" w:line="288" w:lineRule="auto"/>
        <w:ind w:left="210" w:leftChars="100" w:firstLine="0" w:firstLineChars="0"/>
        <w:rPr>
          <w:rFonts w:cs="宋体"/>
          <w:kern w:val="0"/>
          <w:sz w:val="24"/>
        </w:rPr>
      </w:pPr>
      <w:r>
        <w:rPr>
          <w:sz w:val="24"/>
        </w:rPr>
        <w:t xml:space="preserve">3. It is equipped with perfect protection circuit for more reliable performance, and discharge audio alarm to reduce </w:t>
      </w:r>
      <w:r>
        <w:rPr>
          <w:rFonts w:hint="eastAsia"/>
          <w:sz w:val="24"/>
        </w:rPr>
        <w:t>d</w:t>
      </w:r>
      <w:r>
        <w:rPr>
          <w:sz w:val="24"/>
        </w:rPr>
        <w:t>isoperation.</w:t>
      </w:r>
    </w:p>
    <w:p w14:paraId="08D2E51A">
      <w:pPr>
        <w:pStyle w:val="19"/>
        <w:spacing w:before="156" w:beforeLines="50" w:after="156" w:afterLines="50" w:line="288" w:lineRule="auto"/>
        <w:ind w:left="210" w:leftChars="100" w:firstLine="0" w:firstLineChars="0"/>
        <w:rPr>
          <w:rFonts w:cs="宋体"/>
          <w:kern w:val="0"/>
          <w:sz w:val="24"/>
        </w:rPr>
      </w:pPr>
      <w:r>
        <w:rPr>
          <w:sz w:val="24"/>
        </w:rPr>
        <w:t>4. The instrument has a wide measuring range (0.5mΩ-100KΩ), where different sample temperatures can be set, and converted resistance value can be calculated automatically.</w:t>
      </w:r>
    </w:p>
    <w:p w14:paraId="1DABC487">
      <w:pPr>
        <w:pStyle w:val="19"/>
        <w:spacing w:before="156" w:beforeLines="50" w:after="156" w:afterLines="50" w:line="288" w:lineRule="auto"/>
        <w:ind w:left="210" w:leftChars="100" w:firstLine="0" w:firstLineChars="0"/>
        <w:rPr>
          <w:rFonts w:cs="宋体"/>
          <w:color w:val="000000"/>
          <w:sz w:val="24"/>
        </w:rPr>
      </w:pPr>
      <w:r>
        <w:rPr>
          <w:color w:val="000000"/>
          <w:sz w:val="24"/>
        </w:rPr>
        <w:t>5. The instrument can calculate the three-phase imbalance rate, providing a quick and intuitive understanding of the stability of the transformer.</w:t>
      </w:r>
    </w:p>
    <w:p w14:paraId="619F3DB7">
      <w:pPr>
        <w:pStyle w:val="19"/>
        <w:spacing w:before="156" w:beforeLines="50" w:after="156" w:afterLines="50" w:line="288" w:lineRule="auto"/>
        <w:ind w:left="210" w:leftChars="100" w:firstLine="0" w:firstLineChars="0"/>
        <w:rPr>
          <w:rFonts w:cs="宋体"/>
          <w:color w:val="000000"/>
          <w:kern w:val="0"/>
          <w:sz w:val="24"/>
        </w:rPr>
      </w:pPr>
      <w:r>
        <w:rPr>
          <w:color w:val="000000"/>
          <w:sz w:val="24"/>
        </w:rPr>
        <w:t>6. The instrument is powered by a built-in lithium battery and equipped with an independent charging system, which is convenient for on-site operation.</w:t>
      </w:r>
    </w:p>
    <w:p w14:paraId="350F8B0B">
      <w:pPr>
        <w:pStyle w:val="19"/>
        <w:spacing w:before="156" w:beforeLines="50" w:after="156" w:afterLines="50" w:line="288" w:lineRule="auto"/>
        <w:ind w:left="210" w:leftChars="100" w:firstLine="0" w:firstLineChars="0"/>
        <w:rPr>
          <w:rFonts w:cs="宋体"/>
          <w:sz w:val="24"/>
        </w:rPr>
      </w:pPr>
      <w:r>
        <w:rPr>
          <w:sz w:val="24"/>
        </w:rPr>
        <w:t>7. The instrument is equipped with a 7-inch color touch screen with a resolution of 800×480 pixels. It can be configured with Chinese/English operation menus and print the output results in real time.</w:t>
      </w:r>
    </w:p>
    <w:p w14:paraId="3055FE9D">
      <w:pPr>
        <w:pStyle w:val="19"/>
        <w:spacing w:before="156" w:beforeLines="50" w:after="156" w:afterLines="50" w:line="288" w:lineRule="auto"/>
        <w:ind w:left="210" w:leftChars="100" w:firstLine="0" w:firstLineChars="0"/>
        <w:rPr>
          <w:rFonts w:cs="宋体"/>
          <w:color w:val="000000"/>
          <w:kern w:val="0"/>
          <w:sz w:val="24"/>
        </w:rPr>
      </w:pPr>
      <w:r>
        <w:rPr>
          <w:sz w:val="24"/>
        </w:rPr>
        <w:t>8. The instrument adopts two power supply modes, i.e. AC and DC, to meet the use requirements of different sites (AC and DC mode involves the same testing and wiring methods except for different power supply modes).</w:t>
      </w:r>
    </w:p>
    <w:p w14:paraId="6E1589CD">
      <w:pPr>
        <w:pStyle w:val="19"/>
        <w:spacing w:before="156" w:beforeLines="50" w:after="156" w:afterLines="50" w:line="288" w:lineRule="auto"/>
        <w:ind w:left="210" w:leftChars="100" w:firstLine="0" w:firstLineChars="0"/>
        <w:rPr>
          <w:rFonts w:cs="宋体"/>
          <w:kern w:val="0"/>
          <w:sz w:val="24"/>
        </w:rPr>
      </w:pPr>
      <w:r>
        <w:rPr>
          <w:sz w:val="24"/>
        </w:rPr>
        <w:t>9. With RS232 interface, the test data can be transmitted to the backend.</w:t>
      </w:r>
    </w:p>
    <w:p w14:paraId="4B54633A">
      <w:pPr>
        <w:pStyle w:val="19"/>
        <w:spacing w:before="156" w:beforeLines="50" w:after="156" w:afterLines="50" w:line="288" w:lineRule="auto"/>
        <w:ind w:left="210" w:leftChars="100" w:firstLine="0" w:firstLineChars="0"/>
        <w:rPr>
          <w:rFonts w:cs="宋体"/>
          <w:kern w:val="0"/>
          <w:sz w:val="24"/>
        </w:rPr>
      </w:pPr>
      <w:r>
        <w:rPr>
          <w:sz w:val="24"/>
        </w:rPr>
        <w:t>10. This instrument has a powerful storage function, capable of storing up to 1000 test records.</w:t>
      </w:r>
    </w:p>
    <w:p w14:paraId="7F6F7551">
      <w:pPr>
        <w:pStyle w:val="19"/>
        <w:spacing w:before="156" w:beforeLines="50" w:after="156" w:afterLines="50" w:line="288" w:lineRule="auto"/>
        <w:ind w:firstLine="240" w:firstLineChars="100"/>
        <w:rPr>
          <w:rFonts w:cs="宋体"/>
          <w:kern w:val="0"/>
          <w:sz w:val="24"/>
        </w:rPr>
      </w:pPr>
      <w:r>
        <w:rPr>
          <w:sz w:val="24"/>
        </w:rPr>
        <w:t>11. With a USB interface, the test data can be transferred to a USB flash drive.</w:t>
      </w:r>
    </w:p>
    <w:p w14:paraId="71F4AF0A">
      <w:pPr>
        <w:pStyle w:val="19"/>
        <w:spacing w:before="156" w:beforeLines="50" w:after="156" w:afterLines="50" w:line="288" w:lineRule="auto"/>
        <w:ind w:left="210" w:leftChars="100" w:firstLine="0" w:firstLineChars="0"/>
        <w:rPr>
          <w:sz w:val="24"/>
        </w:rPr>
      </w:pPr>
      <w:r>
        <w:rPr>
          <w:sz w:val="24"/>
        </w:rPr>
        <w:t>1</w:t>
      </w:r>
      <w:r>
        <w:rPr>
          <w:rFonts w:hint="eastAsia"/>
          <w:sz w:val="24"/>
        </w:rPr>
        <w:t>2</w:t>
      </w:r>
      <w:r>
        <w:rPr>
          <w:sz w:val="24"/>
        </w:rPr>
        <w:t>. The parameter settings are more comprehensive, allowing for the setting of the transformer's test winding, tap position, test phase, sample temperature, converted temperature value, winding material, etc.</w:t>
      </w:r>
    </w:p>
    <w:bookmarkEnd w:id="4"/>
    <w:p w14:paraId="0FAFF76B">
      <w:pPr>
        <w:pStyle w:val="19"/>
        <w:spacing w:before="156" w:beforeLines="50" w:after="156" w:afterLines="50" w:line="288" w:lineRule="auto"/>
        <w:ind w:left="210" w:leftChars="100" w:firstLine="0" w:firstLineChars="0"/>
        <w:rPr>
          <w:sz w:val="24"/>
        </w:rPr>
      </w:pPr>
    </w:p>
    <w:p w14:paraId="0C6B49BF">
      <w:pPr>
        <w:pStyle w:val="19"/>
        <w:spacing w:before="156" w:beforeLines="50" w:after="156" w:afterLines="50" w:line="288" w:lineRule="auto"/>
        <w:ind w:left="210" w:leftChars="100" w:firstLine="0" w:firstLineChars="0"/>
        <w:rPr>
          <w:sz w:val="24"/>
        </w:rPr>
      </w:pPr>
    </w:p>
    <w:p w14:paraId="67FC20DB">
      <w:pPr>
        <w:pStyle w:val="19"/>
        <w:spacing w:before="156" w:beforeLines="50" w:after="156" w:afterLines="50" w:line="288" w:lineRule="auto"/>
        <w:ind w:left="210" w:leftChars="100" w:firstLine="0" w:firstLineChars="0"/>
        <w:rPr>
          <w:rFonts w:hint="eastAsia" w:cs="宋体"/>
          <w:kern w:val="0"/>
          <w:sz w:val="24"/>
        </w:rPr>
      </w:pPr>
    </w:p>
    <w:p w14:paraId="52EC1455">
      <w:pPr>
        <w:pStyle w:val="2"/>
        <w:spacing w:before="156" w:beforeLines="50" w:after="156" w:afterLines="50" w:line="288" w:lineRule="auto"/>
        <w:ind w:firstLine="0" w:firstLineChars="0"/>
        <w:rPr>
          <w:sz w:val="28"/>
          <w:szCs w:val="28"/>
        </w:rPr>
      </w:pPr>
      <w:bookmarkStart w:id="5" w:name="_Toc145579743"/>
      <w:r>
        <w:rPr>
          <w:sz w:val="28"/>
        </w:rPr>
        <w:t>IV. Technical indicators</w:t>
      </w:r>
      <w:bookmarkEnd w:id="5"/>
    </w:p>
    <w:p w14:paraId="45D4EAE7">
      <w:pPr>
        <w:pStyle w:val="19"/>
        <w:spacing w:before="156" w:beforeLines="50" w:after="156" w:afterLines="50" w:line="288" w:lineRule="auto"/>
        <w:ind w:firstLine="0" w:firstLineChars="0"/>
        <w:rPr>
          <w:rFonts w:cs="宋体"/>
          <w:kern w:val="0"/>
          <w:sz w:val="24"/>
        </w:rPr>
      </w:pPr>
      <w:r>
        <w:rPr>
          <w:sz w:val="24"/>
        </w:rPr>
        <w:t>1. Output current: 10A, 5A, 1A, 100mA, 10mA, 1mA, automatic;</w:t>
      </w:r>
    </w:p>
    <w:p w14:paraId="14447A96">
      <w:pPr>
        <w:spacing w:before="156" w:beforeLines="50" w:after="156" w:afterLines="50" w:line="288" w:lineRule="auto"/>
        <w:ind w:firstLine="0" w:firstLineChars="0"/>
        <w:rPr>
          <w:rFonts w:cs="宋体"/>
          <w:color w:val="000000"/>
          <w:kern w:val="0"/>
          <w:sz w:val="24"/>
        </w:rPr>
      </w:pPr>
      <w:r>
        <w:rPr>
          <w:color w:val="000000"/>
          <w:sz w:val="24"/>
        </w:rPr>
        <w:t>2. Range:</w:t>
      </w:r>
    </w:p>
    <w:p w14:paraId="221F77BA">
      <w:pPr>
        <w:spacing w:before="156" w:beforeLines="50" w:after="156" w:afterLines="50" w:line="288" w:lineRule="auto"/>
        <w:ind w:firstLine="1440" w:firstLineChars="600"/>
        <w:rPr>
          <w:rFonts w:cs="宋体"/>
          <w:color w:val="000000"/>
          <w:kern w:val="0"/>
          <w:sz w:val="24"/>
        </w:rPr>
      </w:pPr>
      <w:r>
        <w:rPr>
          <w:color w:val="000000"/>
          <w:sz w:val="24"/>
        </w:rPr>
        <w:t xml:space="preserve">0.5mΩ～1.6Ω </w:t>
      </w:r>
      <w:r>
        <w:rPr>
          <w:rFonts w:hint="eastAsia"/>
          <w:color w:val="000000"/>
          <w:sz w:val="24"/>
        </w:rPr>
        <w:t>(</w:t>
      </w:r>
      <w:r>
        <w:rPr>
          <w:color w:val="000000"/>
          <w:sz w:val="24"/>
        </w:rPr>
        <w:t>10A gear</w:t>
      </w:r>
      <w:r>
        <w:rPr>
          <w:rFonts w:hint="eastAsia"/>
          <w:color w:val="000000"/>
          <w:sz w:val="24"/>
        </w:rPr>
        <w:t>)</w:t>
      </w:r>
    </w:p>
    <w:p w14:paraId="2C40ECFE">
      <w:pPr>
        <w:spacing w:before="156" w:beforeLines="50" w:after="156" w:afterLines="50" w:line="288" w:lineRule="auto"/>
        <w:ind w:firstLine="1440" w:firstLineChars="600"/>
        <w:rPr>
          <w:rFonts w:cs="宋体"/>
          <w:color w:val="000000"/>
          <w:kern w:val="0"/>
          <w:sz w:val="24"/>
        </w:rPr>
      </w:pPr>
      <w:r>
        <w:rPr>
          <w:color w:val="000000"/>
          <w:sz w:val="24"/>
        </w:rPr>
        <w:t xml:space="preserve">20mΩ～3.2Ω </w:t>
      </w:r>
      <w:r>
        <w:rPr>
          <w:rFonts w:hint="eastAsia"/>
          <w:color w:val="000000"/>
          <w:sz w:val="24"/>
        </w:rPr>
        <w:t>(</w:t>
      </w:r>
      <w:r>
        <w:rPr>
          <w:color w:val="000000"/>
          <w:sz w:val="24"/>
        </w:rPr>
        <w:t>5A gear</w:t>
      </w:r>
      <w:r>
        <w:rPr>
          <w:rFonts w:hint="eastAsia"/>
          <w:color w:val="000000"/>
          <w:sz w:val="24"/>
        </w:rPr>
        <w:t>)</w:t>
      </w:r>
    </w:p>
    <w:p w14:paraId="51D09E9E">
      <w:pPr>
        <w:spacing w:before="156" w:beforeLines="50" w:after="156" w:afterLines="50" w:line="288" w:lineRule="auto"/>
        <w:ind w:firstLine="1440" w:firstLineChars="600"/>
        <w:rPr>
          <w:rFonts w:cs="宋体"/>
          <w:color w:val="000000"/>
          <w:kern w:val="0"/>
          <w:sz w:val="24"/>
        </w:rPr>
      </w:pPr>
      <w:r>
        <w:rPr>
          <w:color w:val="000000"/>
          <w:sz w:val="24"/>
        </w:rPr>
        <w:t xml:space="preserve">100mΩ～16Ω </w:t>
      </w:r>
      <w:r>
        <w:rPr>
          <w:rFonts w:hint="eastAsia"/>
          <w:color w:val="000000"/>
          <w:sz w:val="24"/>
        </w:rPr>
        <w:t>(</w:t>
      </w:r>
      <w:r>
        <w:rPr>
          <w:color w:val="000000"/>
          <w:sz w:val="24"/>
        </w:rPr>
        <w:t>1A gear</w:t>
      </w:r>
      <w:r>
        <w:rPr>
          <w:rFonts w:hint="eastAsia"/>
          <w:color w:val="000000"/>
          <w:sz w:val="24"/>
        </w:rPr>
        <w:t>)</w:t>
      </w:r>
    </w:p>
    <w:p w14:paraId="4B620524">
      <w:pPr>
        <w:spacing w:before="156" w:beforeLines="50" w:after="156" w:afterLines="50" w:line="288" w:lineRule="auto"/>
        <w:ind w:firstLine="1440" w:firstLineChars="600"/>
        <w:rPr>
          <w:color w:val="000000"/>
          <w:sz w:val="24"/>
        </w:rPr>
      </w:pPr>
      <w:r>
        <w:rPr>
          <w:color w:val="000000"/>
          <w:sz w:val="24"/>
        </w:rPr>
        <w:t>16Ω～100Ω (100mA gear</w:t>
      </w:r>
      <w:r>
        <w:rPr>
          <w:rFonts w:hint="eastAsia"/>
          <w:color w:val="000000"/>
          <w:sz w:val="24"/>
        </w:rPr>
        <w:t>)</w:t>
      </w:r>
    </w:p>
    <w:p w14:paraId="0A6C0595">
      <w:pPr>
        <w:spacing w:before="156" w:beforeLines="50" w:after="156" w:afterLines="50" w:line="288" w:lineRule="auto"/>
        <w:ind w:firstLine="1440" w:firstLineChars="600"/>
        <w:rPr>
          <w:rFonts w:cs="宋体"/>
          <w:color w:val="000000"/>
          <w:kern w:val="0"/>
          <w:sz w:val="24"/>
        </w:rPr>
      </w:pPr>
      <w:r>
        <w:rPr>
          <w:color w:val="000000"/>
          <w:sz w:val="24"/>
        </w:rPr>
        <w:t>100Ω～2kΩ (10mA gear</w:t>
      </w:r>
      <w:r>
        <w:rPr>
          <w:rFonts w:hint="eastAsia"/>
          <w:color w:val="000000"/>
          <w:sz w:val="24"/>
        </w:rPr>
        <w:t>)</w:t>
      </w:r>
    </w:p>
    <w:p w14:paraId="6D1ECDE3">
      <w:pPr>
        <w:spacing w:before="156" w:beforeLines="50" w:after="156" w:afterLines="50" w:line="288" w:lineRule="auto"/>
        <w:ind w:right="-292" w:rightChars="-139" w:firstLine="1440" w:firstLineChars="600"/>
        <w:rPr>
          <w:rFonts w:cs="宋体"/>
          <w:color w:val="000000"/>
          <w:kern w:val="0"/>
          <w:sz w:val="24"/>
        </w:rPr>
      </w:pPr>
      <w:r>
        <w:rPr>
          <w:color w:val="000000"/>
          <w:sz w:val="24"/>
        </w:rPr>
        <w:t>2kΩ～100kΩ (1mA gear)</w:t>
      </w:r>
    </w:p>
    <w:p w14:paraId="51CD7679">
      <w:pPr>
        <w:spacing w:before="156" w:beforeLines="50" w:after="156" w:afterLines="50" w:line="288" w:lineRule="auto"/>
        <w:ind w:left="210" w:leftChars="100" w:firstLine="0" w:firstLineChars="0"/>
        <w:rPr>
          <w:rFonts w:cs="宋体"/>
          <w:kern w:val="0"/>
          <w:sz w:val="24"/>
        </w:rPr>
      </w:pPr>
      <w:r>
        <w:rPr>
          <w:rFonts w:hint="eastAsia" w:cs="宋体"/>
          <w:kern w:val="0"/>
          <w:sz w:val="24"/>
        </w:rPr>
        <w:t xml:space="preserve"> </w:t>
      </w:r>
      <w:r>
        <w:rPr>
          <w:sz w:val="24"/>
        </w:rPr>
        <w:t>3. Accuracy: ± (0.2%+2 characters);</w:t>
      </w:r>
    </w:p>
    <w:p w14:paraId="5246E748">
      <w:pPr>
        <w:spacing w:before="156" w:beforeLines="50" w:after="156" w:afterLines="50" w:line="288" w:lineRule="auto"/>
        <w:ind w:left="210" w:leftChars="100" w:firstLine="0" w:firstLineChars="0"/>
        <w:rPr>
          <w:rFonts w:cs="宋体"/>
          <w:kern w:val="0"/>
          <w:sz w:val="24"/>
        </w:rPr>
      </w:pPr>
      <w:r>
        <w:rPr>
          <w:rFonts w:hint="eastAsia" w:cs="宋体"/>
          <w:kern w:val="0"/>
          <w:sz w:val="24"/>
        </w:rPr>
        <w:t xml:space="preserve"> </w:t>
      </w:r>
      <w:r>
        <w:rPr>
          <w:sz w:val="24"/>
        </w:rPr>
        <w:t>4. Resolution: 0.1μΩ;</w:t>
      </w:r>
    </w:p>
    <w:p w14:paraId="0523A182">
      <w:pPr>
        <w:spacing w:before="156" w:beforeLines="50" w:after="156" w:afterLines="50" w:line="288" w:lineRule="auto"/>
        <w:ind w:left="210" w:leftChars="100" w:firstLine="0" w:firstLineChars="0"/>
        <w:rPr>
          <w:rFonts w:cs="宋体"/>
          <w:kern w:val="0"/>
          <w:sz w:val="24"/>
        </w:rPr>
      </w:pPr>
      <w:r>
        <w:rPr>
          <w:rFonts w:hint="eastAsia"/>
          <w:sz w:val="24"/>
        </w:rPr>
        <w:t xml:space="preserve"> </w:t>
      </w:r>
      <w:r>
        <w:rPr>
          <w:sz w:val="24"/>
        </w:rPr>
        <w:t>5. Working temperature: -20 to 40</w:t>
      </w:r>
      <w:r>
        <w:rPr>
          <w:rFonts w:hint="eastAsia"/>
          <w:sz w:val="24"/>
        </w:rPr>
        <w:t>℃</w:t>
      </w:r>
      <w:r>
        <w:rPr>
          <w:sz w:val="24"/>
        </w:rPr>
        <w:t>;</w:t>
      </w:r>
    </w:p>
    <w:p w14:paraId="42F79E5D">
      <w:pPr>
        <w:spacing w:before="156" w:beforeLines="50" w:after="156" w:afterLines="50" w:line="288" w:lineRule="auto"/>
        <w:ind w:left="210" w:leftChars="100" w:firstLine="0" w:firstLineChars="0"/>
        <w:rPr>
          <w:rFonts w:cs="宋体"/>
          <w:kern w:val="0"/>
          <w:sz w:val="24"/>
        </w:rPr>
      </w:pPr>
      <w:r>
        <w:rPr>
          <w:rFonts w:hint="eastAsia"/>
          <w:sz w:val="24"/>
        </w:rPr>
        <w:t xml:space="preserve"> </w:t>
      </w:r>
      <w:r>
        <w:rPr>
          <w:sz w:val="24"/>
        </w:rPr>
        <w:t>6. Ambient humidity: ≤80% RH, no condensation;</w:t>
      </w:r>
    </w:p>
    <w:p w14:paraId="30834115">
      <w:pPr>
        <w:spacing w:before="156" w:beforeLines="50" w:after="156" w:afterLines="50" w:line="288" w:lineRule="auto"/>
        <w:ind w:left="210" w:leftChars="100" w:firstLine="120" w:firstLineChars="50"/>
        <w:rPr>
          <w:rFonts w:cs="宋体"/>
          <w:kern w:val="0"/>
          <w:sz w:val="24"/>
        </w:rPr>
      </w:pPr>
      <w:bookmarkStart w:id="6" w:name="_Toc414273032"/>
      <w:r>
        <w:rPr>
          <w:sz w:val="24"/>
        </w:rPr>
        <w:t>7. Altitude: ≤1,000m</w:t>
      </w:r>
    </w:p>
    <w:p w14:paraId="3664A0AA">
      <w:pPr>
        <w:spacing w:before="156" w:beforeLines="50" w:after="156" w:afterLines="50" w:line="288" w:lineRule="auto"/>
        <w:ind w:left="210" w:leftChars="100" w:firstLine="120" w:firstLineChars="50"/>
        <w:rPr>
          <w:rFonts w:cs="宋体"/>
          <w:kern w:val="0"/>
          <w:sz w:val="24"/>
        </w:rPr>
      </w:pPr>
      <w:r>
        <w:rPr>
          <w:sz w:val="24"/>
        </w:rPr>
        <w:t>8. Working power supply: AC220V±10% 50Hz±1Hz; 24VDC/6Ah lithium battery;</w:t>
      </w:r>
    </w:p>
    <w:p w14:paraId="4D747206">
      <w:pPr>
        <w:spacing w:before="156" w:beforeLines="50" w:after="156" w:afterLines="50" w:line="288" w:lineRule="auto"/>
        <w:ind w:left="210" w:leftChars="100" w:firstLine="120" w:firstLineChars="50"/>
        <w:rPr>
          <w:rFonts w:cs="宋体"/>
          <w:kern w:val="0"/>
          <w:sz w:val="24"/>
        </w:rPr>
      </w:pPr>
      <w:r>
        <w:rPr>
          <w:sz w:val="24"/>
        </w:rPr>
        <w:t>9. Dimension: 323*275*135mm;</w:t>
      </w:r>
    </w:p>
    <w:p w14:paraId="074728F9">
      <w:pPr>
        <w:spacing w:before="156" w:beforeLines="50" w:after="156" w:afterLines="50" w:line="288" w:lineRule="auto"/>
        <w:ind w:left="210" w:leftChars="100" w:firstLine="0" w:firstLineChars="0"/>
        <w:rPr>
          <w:rFonts w:cs="宋体"/>
          <w:kern w:val="0"/>
          <w:sz w:val="24"/>
        </w:rPr>
      </w:pPr>
      <w:r>
        <w:rPr>
          <w:sz w:val="24"/>
        </w:rPr>
        <w:t>10. Weight: 4.75kg.</w:t>
      </w:r>
    </w:p>
    <w:bookmarkEnd w:id="6"/>
    <w:p w14:paraId="4FFB954C">
      <w:pPr>
        <w:pStyle w:val="2"/>
        <w:spacing w:before="156" w:beforeLines="50" w:after="156" w:afterLines="50" w:line="288" w:lineRule="auto"/>
        <w:ind w:firstLine="0" w:firstLineChars="0"/>
        <w:rPr>
          <w:sz w:val="28"/>
          <w:szCs w:val="28"/>
        </w:rPr>
      </w:pPr>
      <w:bookmarkStart w:id="7" w:name="_Toc145579744"/>
      <w:r>
        <w:rPr>
          <w:sz w:val="28"/>
        </w:rPr>
        <w:t>V. System introduction</w:t>
      </w:r>
      <w:bookmarkEnd w:id="7"/>
    </w:p>
    <w:p w14:paraId="019B7156">
      <w:pPr>
        <w:spacing w:before="156" w:beforeLines="50" w:after="156" w:afterLines="50" w:line="288" w:lineRule="auto"/>
        <w:ind w:firstLine="0" w:firstLineChars="0"/>
        <w:rPr>
          <w:b/>
          <w:sz w:val="24"/>
        </w:rPr>
      </w:pPr>
      <w:r>
        <w:rPr>
          <w:b/>
          <w:sz w:val="24"/>
        </w:rPr>
        <w:t>The instrument panel is shown in the figure below:</w:t>
      </w:r>
    </w:p>
    <w:p w14:paraId="435792DC">
      <w:pPr>
        <w:pStyle w:val="19"/>
        <w:spacing w:before="156" w:beforeLines="50" w:after="156" w:afterLines="50" w:line="288" w:lineRule="auto"/>
        <w:ind w:firstLine="0" w:firstLineChars="0"/>
        <w:jc w:val="center"/>
        <w:rPr>
          <w:kern w:val="0"/>
          <w:sz w:val="24"/>
        </w:rPr>
      </w:pPr>
      <w:r>
        <w:rPr>
          <w:kern w:val="0"/>
          <w:sz w:val="24"/>
        </w:rPr>
        <w:drawing>
          <wp:inline distT="0" distB="0" distL="0" distR="0">
            <wp:extent cx="4102100" cy="2879725"/>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4102673" cy="2880000"/>
                    </a:xfrm>
                    <a:prstGeom prst="rect">
                      <a:avLst/>
                    </a:prstGeom>
                  </pic:spPr>
                </pic:pic>
              </a:graphicData>
            </a:graphic>
          </wp:inline>
        </w:drawing>
      </w:r>
    </w:p>
    <w:p w14:paraId="11A9D89E">
      <w:pPr>
        <w:pStyle w:val="19"/>
        <w:spacing w:before="156" w:beforeLines="50" w:after="156" w:afterLines="50" w:line="288" w:lineRule="auto"/>
        <w:ind w:firstLine="0" w:firstLineChars="0"/>
        <w:jc w:val="center"/>
        <w:rPr>
          <w:kern w:val="0"/>
          <w:sz w:val="24"/>
        </w:rPr>
      </w:pPr>
      <w:r>
        <w:rPr>
          <w:sz w:val="24"/>
        </w:rPr>
        <w:t>Figure 1</w:t>
      </w:r>
    </w:p>
    <w:p w14:paraId="3BE7EA68">
      <w:pPr>
        <w:pStyle w:val="19"/>
        <w:spacing w:before="156" w:beforeLines="50" w:after="156" w:afterLines="50" w:line="288" w:lineRule="auto"/>
        <w:ind w:firstLine="0" w:firstLineChars="0"/>
        <w:rPr>
          <w:sz w:val="24"/>
        </w:rPr>
      </w:pPr>
      <w:r>
        <w:rPr>
          <w:b/>
          <w:sz w:val="24"/>
        </w:rPr>
        <w:t>1. I+, I-:</w:t>
      </w:r>
      <w:r>
        <w:rPr>
          <w:sz w:val="24"/>
        </w:rPr>
        <w:t xml:space="preserve"> Flat cap terminals for current input/output, red for positive and black for negative.</w:t>
      </w:r>
    </w:p>
    <w:p w14:paraId="4B187CC9">
      <w:pPr>
        <w:pStyle w:val="19"/>
        <w:spacing w:before="156" w:beforeLines="50" w:after="156" w:afterLines="50" w:line="288" w:lineRule="auto"/>
        <w:ind w:firstLine="0" w:firstLineChars="0"/>
        <w:rPr>
          <w:sz w:val="24"/>
        </w:rPr>
      </w:pPr>
      <w:r>
        <w:rPr>
          <w:b/>
          <w:sz w:val="24"/>
        </w:rPr>
        <w:t>2. U+, U-:</w:t>
      </w:r>
      <w:r>
        <w:rPr>
          <w:sz w:val="24"/>
        </w:rPr>
        <w:t xml:space="preserve"> Voltage input terminals, red for positive and black for negative.</w:t>
      </w:r>
    </w:p>
    <w:p w14:paraId="0577FF2B">
      <w:pPr>
        <w:pStyle w:val="19"/>
        <w:spacing w:before="156" w:beforeLines="50" w:after="156" w:afterLines="50" w:line="288" w:lineRule="auto"/>
        <w:ind w:firstLine="0" w:firstLineChars="0"/>
        <w:rPr>
          <w:sz w:val="24"/>
        </w:rPr>
      </w:pPr>
      <w:r>
        <w:rPr>
          <w:b/>
          <w:sz w:val="24"/>
        </w:rPr>
        <w:t>3. LCD:</w:t>
      </w:r>
      <w:r>
        <w:rPr>
          <w:sz w:val="24"/>
        </w:rPr>
        <w:t xml:space="preserve"> 7-inch color touch LCD screen, displaying menus, current, and resistance values, etc. Avoid prolonged exposure to sunlight and heavy pressure.</w:t>
      </w:r>
    </w:p>
    <w:p w14:paraId="6784C76C">
      <w:pPr>
        <w:pStyle w:val="19"/>
        <w:spacing w:before="156" w:beforeLines="50" w:after="156" w:afterLines="50" w:line="288" w:lineRule="auto"/>
        <w:ind w:firstLine="0" w:firstLineChars="0"/>
        <w:rPr>
          <w:color w:val="000000"/>
          <w:sz w:val="24"/>
        </w:rPr>
      </w:pPr>
      <w:r>
        <w:rPr>
          <w:b/>
          <w:sz w:val="24"/>
        </w:rPr>
        <w:t>4. Switch:</w:t>
      </w:r>
      <w:r>
        <w:rPr>
          <w:sz w:val="24"/>
        </w:rPr>
        <w:t xml:space="preserve"> The button switch to control the power supply of the instrument. </w:t>
      </w:r>
      <w:r>
        <w:rPr>
          <w:color w:val="000000"/>
          <w:sz w:val="24"/>
        </w:rPr>
        <w:t xml:space="preserve">When connected to the mains, the power supply of the whole instrument is AC; when not connected to the mains, the power supply of the whole instrument is internal lithium battery. </w:t>
      </w:r>
    </w:p>
    <w:p w14:paraId="6BE359EA">
      <w:pPr>
        <w:autoSpaceDE w:val="0"/>
        <w:autoSpaceDN w:val="0"/>
        <w:adjustRightInd w:val="0"/>
        <w:spacing w:before="156" w:beforeLines="50" w:after="156" w:afterLines="50" w:line="288" w:lineRule="auto"/>
        <w:ind w:firstLine="0" w:firstLineChars="0"/>
        <w:rPr>
          <w:color w:val="000000"/>
          <w:sz w:val="24"/>
        </w:rPr>
      </w:pPr>
      <w:r>
        <w:rPr>
          <w:b/>
          <w:color w:val="000000"/>
          <w:sz w:val="24"/>
        </w:rPr>
        <w:t>5. RS232:</w:t>
      </w:r>
      <w:r>
        <w:rPr>
          <w:color w:val="000000"/>
          <w:sz w:val="24"/>
        </w:rPr>
        <w:t xml:space="preserve"> The instrument adopts a standard RS232 interface, which can be connected with the communication port of the upper computer. The instrument communicates with the PC according to the specified protocol. Both parties shall set the same baud rate and communication address to operate the instrument in real time and realize the functions of setting, measurement, data storage and transmission.</w:t>
      </w:r>
    </w:p>
    <w:p w14:paraId="0BFD647E">
      <w:pPr>
        <w:pStyle w:val="19"/>
        <w:spacing w:before="156" w:beforeLines="50" w:after="156" w:afterLines="50" w:line="288" w:lineRule="auto"/>
        <w:ind w:firstLine="0" w:firstLineChars="0"/>
        <w:rPr>
          <w:color w:val="000000"/>
          <w:sz w:val="24"/>
        </w:rPr>
      </w:pPr>
      <w:r>
        <w:rPr>
          <w:b/>
          <w:sz w:val="24"/>
        </w:rPr>
        <w:t xml:space="preserve">6. USB port: </w:t>
      </w:r>
      <w:r>
        <w:rPr>
          <w:sz w:val="24"/>
        </w:rPr>
        <w:t>The connection and communication interface between the instrument and the USB flash drive is used to export memory data; the USB flash drive can be used to import data as a transfer port; the USB flash drive is connected to the computer for data transmission.</w:t>
      </w:r>
    </w:p>
    <w:p w14:paraId="1304DA44">
      <w:pPr>
        <w:pStyle w:val="19"/>
        <w:spacing w:before="156" w:beforeLines="50" w:after="156" w:afterLines="50" w:line="288" w:lineRule="auto"/>
        <w:ind w:firstLine="0" w:firstLineChars="0"/>
        <w:rPr>
          <w:color w:val="000000"/>
          <w:sz w:val="24"/>
        </w:rPr>
      </w:pPr>
      <w:r>
        <w:rPr>
          <w:b/>
          <w:color w:val="000000"/>
          <w:sz w:val="24"/>
        </w:rPr>
        <w:t xml:space="preserve">7. Printer: </w:t>
      </w:r>
      <w:r>
        <w:rPr>
          <w:color w:val="000000"/>
          <w:sz w:val="24"/>
        </w:rPr>
        <w:t>Miniature thermal printer, which will print test data and information when testing is completed to display or retrieve data: the printer uses 58mm thermal printing paper. When replacing the paper, open the paper compartment, insert the paper roll and leave a small portion outside, then close the cover.</w:t>
      </w:r>
    </w:p>
    <w:p w14:paraId="3C3627CA">
      <w:pPr>
        <w:autoSpaceDE w:val="0"/>
        <w:autoSpaceDN w:val="0"/>
        <w:adjustRightInd w:val="0"/>
        <w:spacing w:before="156" w:beforeLines="50" w:after="156" w:afterLines="50" w:line="288" w:lineRule="auto"/>
        <w:ind w:firstLine="0" w:firstLineChars="0"/>
        <w:rPr>
          <w:color w:val="000000"/>
          <w:sz w:val="24"/>
        </w:rPr>
      </w:pPr>
      <w:r>
        <w:rPr>
          <w:b/>
          <w:sz w:val="24"/>
        </w:rPr>
        <w:t>8. Power socket:</w:t>
      </w:r>
      <w:r>
        <w:rPr>
          <w:sz w:val="24"/>
        </w:rPr>
        <w:t xml:space="preserve"> The instrument is connected to the mains power port and charging port.</w:t>
      </w:r>
    </w:p>
    <w:p w14:paraId="04A135FF">
      <w:pPr>
        <w:autoSpaceDE w:val="0"/>
        <w:autoSpaceDN w:val="0"/>
        <w:adjustRightInd w:val="0"/>
        <w:spacing w:before="156" w:beforeLines="50" w:after="156" w:afterLines="50" w:line="288" w:lineRule="auto"/>
        <w:ind w:firstLine="361" w:firstLineChars="150"/>
        <w:rPr>
          <w:rFonts w:cs="宋体"/>
          <w:kern w:val="0"/>
          <w:sz w:val="24"/>
        </w:rPr>
      </w:pPr>
      <w:r>
        <w:rPr>
          <w:b/>
          <w:sz w:val="24"/>
        </w:rPr>
        <w:t>Mains power port:</w:t>
      </w:r>
      <w:r>
        <w:rPr>
          <w:sz w:val="24"/>
        </w:rPr>
        <w:t xml:space="preserve"> The input voltage required for the instrument power supply is between AC200V and AC240V. The fuse holder is integrated with the power socket, and the fuse specification is 2A. When replacing the fuse, make sure to use a fuse of the same specification. (If the fuse still burns out after replacing it with a spare fuse, there may be a malfunction in the instrument. Please contact the manufacturer for timely assistance.)</w:t>
      </w:r>
    </w:p>
    <w:p w14:paraId="37A1214C">
      <w:pPr>
        <w:pStyle w:val="19"/>
        <w:spacing w:before="156" w:beforeLines="50" w:after="156" w:afterLines="50" w:line="288" w:lineRule="auto"/>
        <w:ind w:firstLine="361" w:firstLineChars="150"/>
        <w:rPr>
          <w:color w:val="000000"/>
          <w:sz w:val="24"/>
        </w:rPr>
      </w:pPr>
      <w:r>
        <w:rPr>
          <w:b/>
          <w:sz w:val="24"/>
        </w:rPr>
        <w:t>Charging port:</w:t>
      </w:r>
      <w:r>
        <w:rPr>
          <w:sz w:val="24"/>
        </w:rPr>
        <w:t xml:space="preserve"> When the instrument is connected to the mains power, the built-in charging system starts charging the battery. Charging stops when entering the current selection interface and testing interface during use. Charging can be done normally when entering other interfaces or in shutdown state.</w:t>
      </w:r>
    </w:p>
    <w:p w14:paraId="3B873A26">
      <w:pPr>
        <w:autoSpaceDE w:val="0"/>
        <w:autoSpaceDN w:val="0"/>
        <w:adjustRightInd w:val="0"/>
        <w:spacing w:before="156" w:beforeLines="50" w:after="156" w:afterLines="50" w:line="288" w:lineRule="auto"/>
        <w:ind w:firstLine="0" w:firstLineChars="0"/>
        <w:rPr>
          <w:rFonts w:cs="宋体"/>
          <w:kern w:val="0"/>
          <w:sz w:val="24"/>
        </w:rPr>
      </w:pPr>
      <w:bookmarkStart w:id="8" w:name="_Toc414273033"/>
      <w:r>
        <w:rPr>
          <w:b/>
          <w:sz w:val="24"/>
        </w:rPr>
        <w:t>9. Grounding rod:</w:t>
      </w:r>
      <w:r>
        <w:rPr>
          <w:sz w:val="24"/>
        </w:rPr>
        <w:t xml:space="preserve"> Used for grounding the shell of the whole instrument, connected to the grounding wire of the power socket. Ensure reliable and independent grounding of the instrument before use. Check the grounding rod carefully for any paint or rust, as it may result in unreliable grounding.</w:t>
      </w:r>
    </w:p>
    <w:bookmarkEnd w:id="8"/>
    <w:p w14:paraId="4DCE9FF7">
      <w:pPr>
        <w:pStyle w:val="2"/>
        <w:spacing w:before="156" w:beforeLines="50" w:after="156" w:afterLines="50" w:line="288" w:lineRule="auto"/>
        <w:ind w:firstLine="0" w:firstLineChars="0"/>
        <w:rPr>
          <w:sz w:val="28"/>
          <w:szCs w:val="28"/>
        </w:rPr>
      </w:pPr>
      <w:bookmarkStart w:id="9" w:name="_Toc145579745"/>
      <w:r>
        <w:rPr>
          <w:sz w:val="28"/>
        </w:rPr>
        <w:t>VI. Test and operation method</w:t>
      </w:r>
      <w:bookmarkEnd w:id="9"/>
    </w:p>
    <w:p w14:paraId="0ADBB09C">
      <w:pPr>
        <w:spacing w:before="156" w:beforeLines="50" w:after="156" w:afterLines="50" w:line="288" w:lineRule="auto"/>
        <w:ind w:left="210" w:leftChars="100" w:firstLine="0" w:firstLineChars="0"/>
        <w:jc w:val="left"/>
        <w:rPr>
          <w:b/>
          <w:sz w:val="28"/>
          <w:szCs w:val="28"/>
        </w:rPr>
      </w:pPr>
      <w:r>
        <w:rPr>
          <w:b/>
          <w:sz w:val="28"/>
        </w:rPr>
        <w:t xml:space="preserve"> (I) Test wiring</w:t>
      </w:r>
      <w:bookmarkStart w:id="15" w:name="_GoBack"/>
      <w:bookmarkEnd w:id="15"/>
    </w:p>
    <w:p w14:paraId="2912F709">
      <w:pPr>
        <w:spacing w:before="156" w:beforeLines="50" w:after="156" w:afterLines="50" w:line="288" w:lineRule="auto"/>
        <w:ind w:firstLine="480"/>
        <w:jc w:val="left"/>
        <w:rPr>
          <w:sz w:val="24"/>
        </w:rPr>
      </w:pPr>
      <w:r>
        <w:rPr>
          <w:sz w:val="24"/>
        </w:rPr>
        <w:t>A. Single-phase measurement method, see the figure below</w:t>
      </w:r>
    </w:p>
    <w:p w14:paraId="579BEE1C">
      <w:pPr>
        <w:spacing w:before="156" w:beforeLines="50" w:after="156" w:afterLines="50" w:line="288" w:lineRule="auto"/>
        <w:ind w:firstLine="0" w:firstLineChars="0"/>
        <w:jc w:val="center"/>
        <w:rPr>
          <w:sz w:val="24"/>
        </w:rPr>
      </w:pPr>
      <w:r>
        <w:rPr>
          <w:sz w:val="24"/>
        </w:rPr>
        <w:object>
          <v:shape id="_x0000_i1025" o:spt="75" type="#_x0000_t75" style="height:135pt;width:258pt;" o:ole="t" filled="f" o:preferrelative="t" stroked="f" coordsize="21600,21600">
            <v:path/>
            <v:fill on="f" focussize="0,0"/>
            <v:stroke on="f" joinstyle="miter"/>
            <v:imagedata r:id="rId18" o:title=""/>
            <o:lock v:ext="edit" aspectratio="t"/>
            <w10:wrap type="none"/>
            <w10:anchorlock/>
          </v:shape>
          <o:OLEObject Type="Embed" ProgID="AutoCAD.Drawing.20" ShapeID="_x0000_i1025" DrawAspect="Content" ObjectID="_1468075725" r:id="rId17">
            <o:LockedField>false</o:LockedField>
          </o:OLEObject>
        </w:object>
      </w:r>
    </w:p>
    <w:p w14:paraId="140A79D9">
      <w:pPr>
        <w:spacing w:before="156" w:beforeLines="50" w:after="156" w:afterLines="50" w:line="288" w:lineRule="auto"/>
        <w:ind w:firstLine="0" w:firstLineChars="0"/>
        <w:jc w:val="center"/>
        <w:rPr>
          <w:b/>
          <w:sz w:val="24"/>
        </w:rPr>
      </w:pPr>
      <w:r>
        <w:rPr>
          <w:sz w:val="24"/>
        </w:rPr>
        <w:t>Figure 2</w:t>
      </w:r>
    </w:p>
    <w:p w14:paraId="70F12CDB">
      <w:pPr>
        <w:spacing w:before="156" w:beforeLines="50" w:after="156" w:afterLines="50" w:line="288" w:lineRule="auto"/>
        <w:ind w:firstLine="480"/>
        <w:rPr>
          <w:sz w:val="24"/>
        </w:rPr>
      </w:pPr>
      <w:r>
        <w:rPr>
          <w:sz w:val="24"/>
        </w:rPr>
        <w:t>B. See Fig. 3 ~ 5 for the wiring of magnetic aid method (applicable to Y</w:t>
      </w:r>
      <w:r>
        <w:rPr>
          <w:sz w:val="24"/>
          <w:vertAlign w:val="subscript"/>
        </w:rPr>
        <w:t>(N)</w:t>
      </w:r>
      <w:r>
        <w:rPr>
          <w:sz w:val="24"/>
        </w:rPr>
        <w:t>-d-11 connection group).</w:t>
      </w:r>
    </w:p>
    <w:p w14:paraId="6F52C225">
      <w:pPr>
        <w:spacing w:before="156" w:beforeLines="50" w:after="156" w:afterLines="50" w:line="288" w:lineRule="auto"/>
        <w:ind w:firstLine="0" w:firstLineChars="0"/>
        <w:jc w:val="center"/>
        <w:rPr>
          <w:sz w:val="24"/>
        </w:rPr>
      </w:pPr>
      <w:r>
        <w:rPr>
          <w:sz w:val="24"/>
        </w:rPr>
        <w:object>
          <v:shape id="_x0000_i1026" o:spt="75" type="#_x0000_t75" style="height:131.25pt;width:265.5pt;" o:ole="t" filled="f" o:preferrelative="t" stroked="f" coordsize="21600,21600">
            <v:path/>
            <v:fill on="f" focussize="0,0"/>
            <v:stroke on="f" joinstyle="miter"/>
            <v:imagedata r:id="rId20" o:title=""/>
            <o:lock v:ext="edit" aspectratio="t"/>
            <w10:wrap type="none"/>
            <w10:anchorlock/>
          </v:shape>
          <o:OLEObject Type="Embed" ProgID="AutoCAD.Drawing.20" ShapeID="_x0000_i1026" DrawAspect="Content" ObjectID="_1468075726" r:id="rId19">
            <o:LockedField>false</o:LockedField>
          </o:OLEObject>
        </w:object>
      </w:r>
    </w:p>
    <w:p w14:paraId="54EEF78E">
      <w:pPr>
        <w:spacing w:before="156" w:beforeLines="50" w:after="156" w:afterLines="50" w:line="288" w:lineRule="auto"/>
        <w:ind w:firstLine="0" w:firstLineChars="0"/>
        <w:jc w:val="center"/>
        <w:rPr>
          <w:sz w:val="24"/>
        </w:rPr>
      </w:pPr>
      <w:r>
        <w:rPr>
          <w:sz w:val="24"/>
        </w:rPr>
        <w:t>Figure 3</w:t>
      </w:r>
    </w:p>
    <w:p w14:paraId="6E9BF500">
      <w:pPr>
        <w:spacing w:before="156" w:beforeLines="50" w:after="156" w:afterLines="50" w:line="288" w:lineRule="auto"/>
        <w:ind w:left="361" w:hanging="361" w:hangingChars="150"/>
        <w:jc w:val="center"/>
        <w:rPr>
          <w:b/>
          <w:sz w:val="24"/>
        </w:rPr>
      </w:pPr>
      <w:r>
        <w:rPr>
          <w:b/>
          <w:sz w:val="24"/>
        </w:rPr>
        <w:object>
          <v:shape id="_x0000_i1027" o:spt="75" type="#_x0000_t75" style="height:129.75pt;width:239.25pt;" o:ole="t" filled="f" o:preferrelative="t" stroked="f" coordsize="21600,21600">
            <v:path/>
            <v:fill on="f" focussize="0,0"/>
            <v:stroke on="f" joinstyle="miter"/>
            <v:imagedata r:id="rId22" o:title=""/>
            <o:lock v:ext="edit" aspectratio="t"/>
            <w10:wrap type="none"/>
            <w10:anchorlock/>
          </v:shape>
          <o:OLEObject Type="Embed" ProgID="AutoCAD.Drawing.20" ShapeID="_x0000_i1027" DrawAspect="Content" ObjectID="_1468075727" r:id="rId21">
            <o:LockedField>false</o:LockedField>
          </o:OLEObject>
        </w:object>
      </w:r>
    </w:p>
    <w:p w14:paraId="7012E8D9">
      <w:pPr>
        <w:spacing w:before="156" w:beforeLines="50" w:after="156" w:afterLines="50" w:line="288" w:lineRule="auto"/>
        <w:ind w:firstLine="0" w:firstLineChars="0"/>
        <w:jc w:val="center"/>
        <w:rPr>
          <w:bCs/>
          <w:sz w:val="24"/>
        </w:rPr>
      </w:pPr>
      <w:r>
        <w:rPr>
          <w:sz w:val="24"/>
        </w:rPr>
        <w:t>Figure 4</w:t>
      </w:r>
    </w:p>
    <w:p w14:paraId="207BC3BF">
      <w:pPr>
        <w:spacing w:before="156" w:beforeLines="50" w:after="156" w:afterLines="50" w:line="288" w:lineRule="auto"/>
        <w:ind w:firstLine="0" w:firstLineChars="0"/>
        <w:jc w:val="center"/>
        <w:rPr>
          <w:bCs/>
          <w:sz w:val="24"/>
        </w:rPr>
      </w:pPr>
      <w:r>
        <w:rPr>
          <w:bCs/>
          <w:sz w:val="24"/>
        </w:rPr>
        <w:object>
          <v:shape id="_x0000_i1028" o:spt="75" type="#_x0000_t75" style="height:139.5pt;width:246.75pt;" o:ole="t" filled="f" o:preferrelative="t" stroked="f" coordsize="21600,21600">
            <v:path/>
            <v:fill on="f" focussize="0,0"/>
            <v:stroke on="f" joinstyle="miter"/>
            <v:imagedata r:id="rId24" o:title=""/>
            <o:lock v:ext="edit" aspectratio="t"/>
            <w10:wrap type="none"/>
            <w10:anchorlock/>
          </v:shape>
          <o:OLEObject Type="Embed" ProgID="AutoCAD.Drawing.20" ShapeID="_x0000_i1028" DrawAspect="Content" ObjectID="_1468075728" r:id="rId23">
            <o:LockedField>false</o:LockedField>
          </o:OLEObject>
        </w:object>
      </w:r>
    </w:p>
    <w:p w14:paraId="4711340D">
      <w:pPr>
        <w:spacing w:before="156" w:beforeLines="50" w:after="156" w:afterLines="50" w:line="288" w:lineRule="auto"/>
        <w:ind w:firstLine="0" w:firstLineChars="0"/>
        <w:jc w:val="center"/>
        <w:rPr>
          <w:bCs/>
          <w:sz w:val="24"/>
        </w:rPr>
      </w:pPr>
      <w:r>
        <w:rPr>
          <w:sz w:val="24"/>
        </w:rPr>
        <w:t>Figure 5</w:t>
      </w:r>
    </w:p>
    <w:p w14:paraId="7A06C35E">
      <w:pPr>
        <w:spacing w:before="156" w:beforeLines="50" w:after="156" w:afterLines="50" w:line="288" w:lineRule="auto"/>
        <w:ind w:firstLine="480"/>
        <w:rPr>
          <w:b/>
          <w:bCs/>
          <w:sz w:val="24"/>
        </w:rPr>
      </w:pPr>
      <w:r>
        <w:rPr>
          <w:sz w:val="24"/>
        </w:rPr>
        <w:t xml:space="preserve">For low-voltage side measurement of large-capacity transformers, the maximum current of the DC resistance tester is relatively small. Alternatively, to speed up the measurement process, magnetic-assisted measurement can be chosen. </w:t>
      </w:r>
      <w:r>
        <w:rPr>
          <w:b/>
          <w:sz w:val="24"/>
        </w:rPr>
        <w:t>Figure 3, Figure 4 and Figure 5 above shows the wiring method for measuring low voltage Rac, Rba and Rcb respectively.</w:t>
      </w:r>
    </w:p>
    <w:p w14:paraId="7081D585">
      <w:pPr>
        <w:numPr>
          <w:ilvl w:val="0"/>
          <w:numId w:val="3"/>
        </w:numPr>
        <w:spacing w:before="156" w:beforeLines="50" w:after="156" w:afterLines="50" w:line="288" w:lineRule="auto"/>
        <w:ind w:left="210" w:leftChars="100" w:firstLine="0" w:firstLineChars="0"/>
        <w:rPr>
          <w:b/>
          <w:sz w:val="24"/>
        </w:rPr>
      </w:pPr>
      <w:r>
        <w:rPr>
          <w:b/>
          <w:sz w:val="24"/>
        </w:rPr>
        <w:t>Operation method</w:t>
      </w:r>
    </w:p>
    <w:p w14:paraId="3FE95091">
      <w:pPr>
        <w:spacing w:before="156" w:beforeLines="50" w:after="156" w:afterLines="50" w:line="288" w:lineRule="auto"/>
        <w:ind w:firstLine="482"/>
        <w:rPr>
          <w:b/>
          <w:bCs/>
          <w:sz w:val="24"/>
        </w:rPr>
      </w:pPr>
      <w:r>
        <w:rPr>
          <w:b/>
          <w:sz w:val="24"/>
        </w:rPr>
        <w:t>1. Instructions for charging operation:</w:t>
      </w:r>
    </w:p>
    <w:p w14:paraId="74C4B140">
      <w:pPr>
        <w:spacing w:before="156" w:beforeLines="50" w:after="156" w:afterLines="50" w:line="288" w:lineRule="auto"/>
        <w:ind w:firstLine="480"/>
        <w:rPr>
          <w:bCs/>
          <w:sz w:val="24"/>
        </w:rPr>
      </w:pPr>
      <w:r>
        <w:rPr>
          <w:sz w:val="24"/>
        </w:rPr>
        <w:t>When the instrument is turned off, the charging system will automatically start charging after the power socket is connected to the power cord.</w:t>
      </w:r>
    </w:p>
    <w:p w14:paraId="38D0D7A4">
      <w:pPr>
        <w:spacing w:before="156" w:beforeLines="50" w:after="156" w:afterLines="50" w:line="288" w:lineRule="auto"/>
        <w:ind w:firstLine="480"/>
        <w:rPr>
          <w:bCs/>
          <w:sz w:val="24"/>
        </w:rPr>
      </w:pPr>
      <w:r>
        <w:rPr>
          <w:sz w:val="24"/>
        </w:rPr>
        <w:t>When the instrument is powered on, after the power socket is connected to the power cord, the battery icon in the interface will show the progress flow ability, indicating that the charging is in progress (when the instrument enters the current selection interface and the test interface, the charging stops); when the battery is fully charged, the battery icon will no longer show flow ability and will appear as a green full state (</w:t>
      </w:r>
      <w:r>
        <w:rPr>
          <w:b/>
          <w:sz w:val="24"/>
        </w:rPr>
        <w:t>try to fully charge the battery at one time without interruption during the charging process</w:t>
      </w:r>
      <w:r>
        <w:rPr>
          <w:sz w:val="24"/>
        </w:rPr>
        <w:t>).</w:t>
      </w:r>
    </w:p>
    <w:p w14:paraId="3EED7DED">
      <w:pPr>
        <w:spacing w:before="156" w:beforeLines="50" w:after="156" w:afterLines="50" w:line="288" w:lineRule="auto"/>
        <w:ind w:firstLine="480"/>
        <w:rPr>
          <w:sz w:val="24"/>
        </w:rPr>
      </w:pPr>
      <w:r>
        <w:rPr>
          <w:sz w:val="24"/>
        </w:rPr>
        <w:t>Battery maintenance. The battery is a consumable component, and its lifespan and usage environment are related to the number of charge and discharge cycles. If it is not used for a long time, please charge and discharge the battery every month for maintenance.</w:t>
      </w:r>
    </w:p>
    <w:p w14:paraId="3804D4A6">
      <w:pPr>
        <w:spacing w:before="156" w:beforeLines="50" w:after="156" w:afterLines="50" w:line="288" w:lineRule="auto"/>
        <w:ind w:firstLine="482"/>
        <w:rPr>
          <w:b/>
          <w:bCs/>
          <w:sz w:val="24"/>
        </w:rPr>
      </w:pPr>
      <w:r>
        <w:rPr>
          <w:b/>
          <w:sz w:val="24"/>
        </w:rPr>
        <w:t>2. Instructions for functional operation:</w:t>
      </w:r>
    </w:p>
    <w:p w14:paraId="2C5EBF32">
      <w:pPr>
        <w:spacing w:before="156" w:beforeLines="50" w:after="156" w:afterLines="50" w:line="288" w:lineRule="auto"/>
        <w:ind w:firstLine="482"/>
        <w:rPr>
          <w:sz w:val="24"/>
        </w:rPr>
      </w:pPr>
      <w:r>
        <w:rPr>
          <w:b/>
          <w:sz w:val="24"/>
        </w:rPr>
        <w:t xml:space="preserve"> (1) Main interface</w:t>
      </w:r>
      <w:r>
        <w:rPr>
          <w:sz w:val="24"/>
        </w:rPr>
        <w:t>: turn on the power switch, start the instrument and enter the main menu. The interface displays four options: "</w:t>
      </w:r>
      <w:r>
        <w:rPr>
          <w:b/>
          <w:sz w:val="24"/>
        </w:rPr>
        <w:t>Resistance Test</w:t>
      </w:r>
      <w:r>
        <w:rPr>
          <w:sz w:val="24"/>
        </w:rPr>
        <w:t>", "</w:t>
      </w:r>
      <w:r>
        <w:rPr>
          <w:b/>
          <w:sz w:val="24"/>
        </w:rPr>
        <w:t>Record Query</w:t>
      </w:r>
      <w:r>
        <w:rPr>
          <w:sz w:val="24"/>
        </w:rPr>
        <w:t>", "</w:t>
      </w:r>
      <w:r>
        <w:rPr>
          <w:b/>
          <w:sz w:val="24"/>
        </w:rPr>
        <w:t>Time Correction</w:t>
      </w:r>
      <w:r>
        <w:rPr>
          <w:sz w:val="24"/>
        </w:rPr>
        <w:t>" and "</w:t>
      </w:r>
      <w:r>
        <w:rPr>
          <w:b/>
          <w:sz w:val="24"/>
        </w:rPr>
        <w:t>System Settings</w:t>
      </w:r>
      <w:r>
        <w:rPr>
          <w:sz w:val="24"/>
        </w:rPr>
        <w:t>". Select the corresponding option for operation according to the use condition. The startup interface is shown as follows:</w:t>
      </w:r>
    </w:p>
    <w:p w14:paraId="49D9A14D">
      <w:pPr>
        <w:spacing w:before="156" w:beforeLines="50" w:after="156" w:afterLines="50" w:line="288" w:lineRule="auto"/>
        <w:ind w:firstLine="0" w:firstLineChars="0"/>
        <w:jc w:val="center"/>
        <w:rPr>
          <w:sz w:val="24"/>
        </w:rPr>
      </w:pPr>
      <w:r>
        <w:rPr>
          <w:sz w:val="24"/>
        </w:rPr>
        <w:drawing>
          <wp:inline distT="0" distB="0" distL="0" distR="0">
            <wp:extent cx="4199255" cy="251968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0" y="0"/>
                      <a:ext cx="4199679" cy="2520000"/>
                    </a:xfrm>
                    <a:prstGeom prst="rect">
                      <a:avLst/>
                    </a:prstGeom>
                  </pic:spPr>
                </pic:pic>
              </a:graphicData>
            </a:graphic>
          </wp:inline>
        </w:drawing>
      </w:r>
    </w:p>
    <w:p w14:paraId="3D0DF365">
      <w:pPr>
        <w:spacing w:before="156" w:beforeLines="50" w:after="156" w:afterLines="50" w:line="288" w:lineRule="auto"/>
        <w:ind w:firstLine="0" w:firstLineChars="0"/>
        <w:jc w:val="center"/>
        <w:rPr>
          <w:sz w:val="24"/>
        </w:rPr>
      </w:pPr>
      <w:r>
        <w:rPr>
          <w:sz w:val="24"/>
        </w:rPr>
        <w:t>Figure 6</w:t>
      </w:r>
    </w:p>
    <w:p w14:paraId="5B3F3D29">
      <w:pPr>
        <w:numPr>
          <w:ilvl w:val="0"/>
          <w:numId w:val="4"/>
        </w:numPr>
        <w:spacing w:before="156" w:beforeLines="50" w:after="156" w:afterLines="50" w:line="288" w:lineRule="auto"/>
        <w:ind w:left="420" w:leftChars="200" w:firstLine="0" w:firstLineChars="0"/>
        <w:rPr>
          <w:sz w:val="24"/>
        </w:rPr>
      </w:pPr>
      <w:r>
        <w:rPr>
          <w:b/>
          <w:sz w:val="24"/>
        </w:rPr>
        <w:t>DC resistance test:</w:t>
      </w:r>
      <w:r>
        <w:rPr>
          <w:sz w:val="24"/>
        </w:rPr>
        <w:t xml:space="preserve"> Enter the main menu interface after startup, click the "</w:t>
      </w:r>
      <w:r>
        <w:rPr>
          <w:b/>
          <w:sz w:val="24"/>
        </w:rPr>
        <w:t>Resistance Test</w:t>
      </w:r>
      <w:r>
        <w:rPr>
          <w:sz w:val="24"/>
        </w:rPr>
        <w:t xml:space="preserve">" menu to enter the current selection interface as shown in the figure below. First check the range of each current gear, and then select the appropriate test current according to the actual size of the tested object. When the resistance value of the tested object is not clear, the </w:t>
      </w:r>
      <w:r>
        <w:rPr>
          <w:b/>
          <w:sz w:val="24"/>
        </w:rPr>
        <w:t>Automatic Test</w:t>
      </w:r>
      <w:r>
        <w:rPr>
          <w:sz w:val="24"/>
        </w:rPr>
        <w:t xml:space="preserve"> can be selected, and the instrument will automatically select the appropriate output current for testing according to the resistance value of the tested object.</w:t>
      </w:r>
    </w:p>
    <w:p w14:paraId="241A3513">
      <w:pPr>
        <w:spacing w:before="156" w:beforeLines="50" w:after="156" w:afterLines="50" w:line="288" w:lineRule="auto"/>
        <w:ind w:firstLine="0" w:firstLineChars="0"/>
        <w:jc w:val="center"/>
        <w:rPr>
          <w:bCs/>
          <w:sz w:val="24"/>
        </w:rPr>
      </w:pPr>
      <w:r>
        <w:rPr>
          <w:bCs/>
          <w:sz w:val="24"/>
        </w:rPr>
        <w:drawing>
          <wp:inline distT="0" distB="0" distL="0" distR="0">
            <wp:extent cx="4199255" cy="251968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26">
                      <a:extLst>
                        <a:ext uri="{28A0092B-C50C-407E-A947-70E740481C1C}">
                          <a14:useLocalDpi xmlns:a14="http://schemas.microsoft.com/office/drawing/2010/main" val="0"/>
                        </a:ext>
                      </a:extLst>
                    </a:blip>
                    <a:stretch>
                      <a:fillRect/>
                    </a:stretch>
                  </pic:blipFill>
                  <pic:spPr>
                    <a:xfrm>
                      <a:off x="0" y="0"/>
                      <a:ext cx="4199679" cy="2520000"/>
                    </a:xfrm>
                    <a:prstGeom prst="rect">
                      <a:avLst/>
                    </a:prstGeom>
                  </pic:spPr>
                </pic:pic>
              </a:graphicData>
            </a:graphic>
          </wp:inline>
        </w:drawing>
      </w:r>
    </w:p>
    <w:p w14:paraId="1C72D1F4">
      <w:pPr>
        <w:spacing w:before="156" w:beforeLines="50" w:after="156" w:afterLines="50" w:line="288" w:lineRule="auto"/>
        <w:ind w:firstLine="0" w:firstLineChars="0"/>
        <w:jc w:val="center"/>
        <w:rPr>
          <w:bCs/>
          <w:sz w:val="24"/>
        </w:rPr>
      </w:pPr>
      <w:r>
        <w:rPr>
          <w:sz w:val="24"/>
        </w:rPr>
        <w:t>Figure 7</w:t>
      </w:r>
    </w:p>
    <w:p w14:paraId="7BED2C05">
      <w:pPr>
        <w:spacing w:before="156" w:beforeLines="50" w:after="156" w:afterLines="50" w:line="288" w:lineRule="auto"/>
        <w:ind w:firstLine="480"/>
        <w:rPr>
          <w:sz w:val="24"/>
        </w:rPr>
      </w:pPr>
      <w:r>
        <w:rPr>
          <w:sz w:val="24"/>
        </w:rPr>
        <w:t>Click the required current gear, and the instrument executes the test command to enter the test interface. After the test current is charged stably, the LCD displays as shown in the figure below:</w:t>
      </w:r>
    </w:p>
    <w:p w14:paraId="54BEA65D">
      <w:pPr>
        <w:spacing w:before="156" w:beforeLines="50" w:after="156" w:afterLines="50" w:line="288" w:lineRule="auto"/>
        <w:ind w:firstLine="0" w:firstLineChars="0"/>
        <w:jc w:val="center"/>
        <w:rPr>
          <w:b/>
          <w:sz w:val="24"/>
        </w:rPr>
      </w:pPr>
      <w:r>
        <w:rPr>
          <w:b/>
          <w:sz w:val="24"/>
        </w:rPr>
        <w:drawing>
          <wp:inline distT="0" distB="0" distL="0" distR="0">
            <wp:extent cx="4199255" cy="251968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27">
                      <a:extLst>
                        <a:ext uri="{28A0092B-C50C-407E-A947-70E740481C1C}">
                          <a14:useLocalDpi xmlns:a14="http://schemas.microsoft.com/office/drawing/2010/main" val="0"/>
                        </a:ext>
                      </a:extLst>
                    </a:blip>
                    <a:stretch>
                      <a:fillRect/>
                    </a:stretch>
                  </pic:blipFill>
                  <pic:spPr>
                    <a:xfrm>
                      <a:off x="0" y="0"/>
                      <a:ext cx="4199679" cy="2520000"/>
                    </a:xfrm>
                    <a:prstGeom prst="rect">
                      <a:avLst/>
                    </a:prstGeom>
                  </pic:spPr>
                </pic:pic>
              </a:graphicData>
            </a:graphic>
          </wp:inline>
        </w:drawing>
      </w:r>
    </w:p>
    <w:p w14:paraId="31012304">
      <w:pPr>
        <w:spacing w:before="156" w:beforeLines="50" w:after="156" w:afterLines="50" w:line="288" w:lineRule="auto"/>
        <w:ind w:firstLine="0" w:firstLineChars="0"/>
        <w:jc w:val="center"/>
        <w:rPr>
          <w:sz w:val="24"/>
        </w:rPr>
      </w:pPr>
      <w:r>
        <w:rPr>
          <w:sz w:val="24"/>
        </w:rPr>
        <w:t>Figure 8</w:t>
      </w:r>
    </w:p>
    <w:p w14:paraId="13A91324">
      <w:pPr>
        <w:spacing w:before="156" w:beforeLines="50" w:after="156" w:afterLines="50" w:line="288" w:lineRule="auto"/>
        <w:ind w:firstLine="480"/>
        <w:rPr>
          <w:sz w:val="24"/>
        </w:rPr>
      </w:pPr>
      <w:r>
        <w:rPr>
          <w:sz w:val="24"/>
        </w:rPr>
        <w:t xml:space="preserve">Click to modify the parameter values of </w:t>
      </w:r>
      <w:r>
        <w:rPr>
          <w:b/>
          <w:sz w:val="24"/>
        </w:rPr>
        <w:t>Winding</w:t>
      </w:r>
      <w:r>
        <w:rPr>
          <w:sz w:val="24"/>
        </w:rPr>
        <w:t xml:space="preserve">, </w:t>
      </w:r>
      <w:r>
        <w:rPr>
          <w:b/>
          <w:sz w:val="24"/>
        </w:rPr>
        <w:t>Phase</w:t>
      </w:r>
      <w:r>
        <w:rPr>
          <w:sz w:val="24"/>
        </w:rPr>
        <w:t xml:space="preserve">, </w:t>
      </w:r>
      <w:r>
        <w:rPr>
          <w:b/>
          <w:sz w:val="24"/>
        </w:rPr>
        <w:t>Material</w:t>
      </w:r>
      <w:r>
        <w:rPr>
          <w:sz w:val="24"/>
        </w:rPr>
        <w:t xml:space="preserve"> category and </w:t>
      </w:r>
      <w:r>
        <w:rPr>
          <w:b/>
          <w:sz w:val="24"/>
        </w:rPr>
        <w:t>Tapping</w:t>
      </w:r>
      <w:r>
        <w:rPr>
          <w:sz w:val="24"/>
        </w:rPr>
        <w:t xml:space="preserve">, </w:t>
      </w:r>
      <w:r>
        <w:rPr>
          <w:b/>
          <w:sz w:val="24"/>
        </w:rPr>
        <w:t>Object Temperature</w:t>
      </w:r>
      <w:r>
        <w:rPr>
          <w:sz w:val="24"/>
        </w:rPr>
        <w:t xml:space="preserve"> and </w:t>
      </w:r>
      <w:r>
        <w:rPr>
          <w:b/>
          <w:sz w:val="24"/>
        </w:rPr>
        <w:t>Converted Temperature</w:t>
      </w:r>
      <w:r>
        <w:rPr>
          <w:sz w:val="24"/>
        </w:rPr>
        <w:t xml:space="preserve"> according to the actual situation on site.</w:t>
      </w:r>
    </w:p>
    <w:p w14:paraId="585018E1">
      <w:pPr>
        <w:spacing w:before="156" w:beforeLines="50" w:after="156" w:afterLines="50" w:line="288" w:lineRule="auto"/>
        <w:ind w:left="420" w:leftChars="200" w:firstLine="0" w:firstLineChars="0"/>
        <w:rPr>
          <w:bCs/>
          <w:sz w:val="24"/>
        </w:rPr>
      </w:pPr>
      <w:r>
        <w:rPr>
          <w:b/>
          <w:sz w:val="24"/>
        </w:rPr>
        <w:t>Winding:</w:t>
      </w:r>
      <w:r>
        <w:rPr>
          <w:sz w:val="24"/>
        </w:rPr>
        <w:t xml:space="preserve"> The instrument displays three transformer winding types including </w:t>
      </w:r>
      <w:r>
        <w:rPr>
          <w:b/>
          <w:sz w:val="24"/>
        </w:rPr>
        <w:t>high voltage (HV)</w:t>
      </w:r>
      <w:r>
        <w:rPr>
          <w:sz w:val="24"/>
        </w:rPr>
        <w:t xml:space="preserve">, </w:t>
      </w:r>
      <w:r>
        <w:rPr>
          <w:b/>
          <w:sz w:val="24"/>
        </w:rPr>
        <w:t>medium voltage (MV)</w:t>
      </w:r>
      <w:r>
        <w:rPr>
          <w:sz w:val="24"/>
        </w:rPr>
        <w:t xml:space="preserve"> and </w:t>
      </w:r>
      <w:r>
        <w:rPr>
          <w:b/>
          <w:sz w:val="24"/>
        </w:rPr>
        <w:t>low voltage (LV)</w:t>
      </w:r>
      <w:r>
        <w:rPr>
          <w:sz w:val="24"/>
        </w:rPr>
        <w:t xml:space="preserve"> in turn. Click on the display box to change the corresponding test winding.</w:t>
      </w:r>
    </w:p>
    <w:p w14:paraId="13D7508C">
      <w:pPr>
        <w:spacing w:before="156" w:beforeLines="50" w:after="156" w:afterLines="50" w:line="288" w:lineRule="auto"/>
        <w:ind w:left="420" w:leftChars="200" w:firstLine="0" w:firstLineChars="0"/>
        <w:rPr>
          <w:bCs/>
          <w:sz w:val="24"/>
        </w:rPr>
      </w:pPr>
      <w:r>
        <w:rPr>
          <w:b/>
          <w:sz w:val="24"/>
        </w:rPr>
        <w:t>Phase:</w:t>
      </w:r>
      <w:r>
        <w:rPr>
          <w:sz w:val="24"/>
        </w:rPr>
        <w:t xml:space="preserve"> The instrument displays six groups of transformer winding phases including </w:t>
      </w:r>
      <w:r>
        <w:rPr>
          <w:b/>
          <w:sz w:val="24"/>
        </w:rPr>
        <w:t>AO/BO/CO/AB/BC/CA</w:t>
      </w:r>
      <w:r>
        <w:rPr>
          <w:sz w:val="24"/>
        </w:rPr>
        <w:t xml:space="preserve"> in turn. Click on the display box to change the corresponding test phase.</w:t>
      </w:r>
    </w:p>
    <w:p w14:paraId="4639D869">
      <w:pPr>
        <w:spacing w:before="156" w:beforeLines="50" w:after="156" w:afterLines="50" w:line="288" w:lineRule="auto"/>
        <w:ind w:left="420" w:leftChars="200" w:firstLine="0" w:firstLineChars="0"/>
        <w:rPr>
          <w:sz w:val="24"/>
        </w:rPr>
      </w:pPr>
      <w:r>
        <w:rPr>
          <w:b/>
          <w:sz w:val="24"/>
        </w:rPr>
        <w:t>Winding material:</w:t>
      </w:r>
      <w:r>
        <w:rPr>
          <w:sz w:val="24"/>
        </w:rPr>
        <w:t xml:space="preserve"> According to different winding materials of transformer, click the display box to switch between the winding materials including </w:t>
      </w:r>
      <w:r>
        <w:rPr>
          <w:b/>
          <w:sz w:val="24"/>
        </w:rPr>
        <w:t>copper</w:t>
      </w:r>
      <w:r>
        <w:rPr>
          <w:sz w:val="24"/>
        </w:rPr>
        <w:t xml:space="preserve"> and </w:t>
      </w:r>
      <w:r>
        <w:rPr>
          <w:b/>
          <w:sz w:val="24"/>
        </w:rPr>
        <w:t>aluminum</w:t>
      </w:r>
      <w:r>
        <w:rPr>
          <w:sz w:val="24"/>
        </w:rPr>
        <w:t xml:space="preserve"> for different converted temperature coefficients.</w:t>
      </w:r>
    </w:p>
    <w:p w14:paraId="34300DE9">
      <w:pPr>
        <w:spacing w:before="156" w:beforeLines="50" w:after="156" w:afterLines="50" w:line="288" w:lineRule="auto"/>
        <w:ind w:left="420" w:leftChars="200" w:firstLine="0" w:firstLineChars="0"/>
        <w:rPr>
          <w:sz w:val="24"/>
        </w:rPr>
      </w:pPr>
      <w:r>
        <w:rPr>
          <w:b/>
          <w:sz w:val="24"/>
        </w:rPr>
        <w:t xml:space="preserve">Tapping: </w:t>
      </w:r>
      <w:r>
        <w:rPr>
          <w:sz w:val="24"/>
        </w:rPr>
        <w:t xml:space="preserve">Click the display box, the interface will display a </w:t>
      </w:r>
      <w:r>
        <w:rPr>
          <w:b/>
          <w:sz w:val="24"/>
        </w:rPr>
        <w:t>numeric keypad</w:t>
      </w:r>
      <w:r>
        <w:rPr>
          <w:sz w:val="24"/>
        </w:rPr>
        <w:t xml:space="preserve"> prompt. Input the corresponding tapping number and then click </w:t>
      </w:r>
      <w:r>
        <w:rPr>
          <w:b/>
          <w:sz w:val="24"/>
        </w:rPr>
        <w:t>OK</w:t>
      </w:r>
      <w:r>
        <w:rPr>
          <w:sz w:val="24"/>
        </w:rPr>
        <w:t xml:space="preserve"> to enter it, and click </w:t>
      </w:r>
      <w:r>
        <w:rPr>
          <w:b/>
          <w:sz w:val="24"/>
        </w:rPr>
        <w:t>ESC</w:t>
      </w:r>
      <w:r>
        <w:rPr>
          <w:sz w:val="24"/>
        </w:rPr>
        <w:t xml:space="preserve"> to return to the test interface, as shown in the figure below:</w:t>
      </w:r>
    </w:p>
    <w:p w14:paraId="32926E59">
      <w:pPr>
        <w:spacing w:before="156" w:beforeLines="50" w:after="156" w:afterLines="50" w:line="288" w:lineRule="auto"/>
        <w:ind w:left="420" w:leftChars="200" w:firstLine="0" w:firstLineChars="0"/>
        <w:rPr>
          <w:sz w:val="24"/>
        </w:rPr>
      </w:pPr>
      <w:r>
        <w:rPr>
          <w:b/>
          <w:sz w:val="24"/>
        </w:rPr>
        <w:t xml:space="preserve">Object temperature: </w:t>
      </w:r>
      <w:r>
        <w:rPr>
          <w:sz w:val="24"/>
        </w:rPr>
        <w:t xml:space="preserve">The default object temperature of the instrument is 20 ℃. Click the display box, the interface will display a </w:t>
      </w:r>
      <w:r>
        <w:rPr>
          <w:b/>
          <w:sz w:val="24"/>
        </w:rPr>
        <w:t>numeric keypad</w:t>
      </w:r>
      <w:r>
        <w:rPr>
          <w:sz w:val="24"/>
        </w:rPr>
        <w:t xml:space="preserve"> prompt. Input the object temperature in the measurement environment, and click "</w:t>
      </w:r>
      <w:r>
        <w:rPr>
          <w:b/>
          <w:sz w:val="24"/>
        </w:rPr>
        <w:t>OK</w:t>
      </w:r>
      <w:r>
        <w:rPr>
          <w:sz w:val="24"/>
        </w:rPr>
        <w:t>" to save.</w:t>
      </w:r>
    </w:p>
    <w:p w14:paraId="36A029D8">
      <w:pPr>
        <w:spacing w:before="156" w:beforeLines="50" w:after="156" w:afterLines="50" w:line="288" w:lineRule="auto"/>
        <w:ind w:left="420" w:leftChars="200" w:firstLine="0" w:firstLineChars="0"/>
        <w:rPr>
          <w:sz w:val="24"/>
        </w:rPr>
      </w:pPr>
      <w:r>
        <w:rPr>
          <w:b/>
          <w:sz w:val="24"/>
        </w:rPr>
        <w:t xml:space="preserve">Converted temperature: </w:t>
      </w:r>
      <w:r>
        <w:rPr>
          <w:sz w:val="24"/>
        </w:rPr>
        <w:t xml:space="preserve">The default conversion temperature of the instrument is 75 ℃. Click the display box, the interface will also display a </w:t>
      </w:r>
      <w:r>
        <w:rPr>
          <w:b/>
          <w:sz w:val="24"/>
        </w:rPr>
        <w:t>numeric keypad</w:t>
      </w:r>
      <w:r>
        <w:rPr>
          <w:sz w:val="24"/>
        </w:rPr>
        <w:t xml:space="preserve"> prompt. Input the required or specified converted temperature, and click "</w:t>
      </w:r>
      <w:r>
        <w:rPr>
          <w:b/>
          <w:sz w:val="24"/>
        </w:rPr>
        <w:t>OK</w:t>
      </w:r>
      <w:r>
        <w:rPr>
          <w:sz w:val="24"/>
        </w:rPr>
        <w:t>" to save.</w:t>
      </w:r>
    </w:p>
    <w:p w14:paraId="39721152">
      <w:pPr>
        <w:spacing w:before="156" w:beforeLines="50" w:after="156" w:afterLines="50" w:line="288" w:lineRule="auto"/>
        <w:ind w:firstLine="0" w:firstLineChars="0"/>
        <w:jc w:val="center"/>
        <w:rPr>
          <w:sz w:val="24"/>
        </w:rPr>
      </w:pPr>
      <w:r>
        <w:rPr>
          <w:sz w:val="24"/>
        </w:rPr>
        <w:drawing>
          <wp:inline distT="0" distB="0" distL="0" distR="0">
            <wp:extent cx="4199255" cy="251968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4199679" cy="2520000"/>
                    </a:xfrm>
                    <a:prstGeom prst="rect">
                      <a:avLst/>
                    </a:prstGeom>
                  </pic:spPr>
                </pic:pic>
              </a:graphicData>
            </a:graphic>
          </wp:inline>
        </w:drawing>
      </w:r>
    </w:p>
    <w:p w14:paraId="680F4610">
      <w:pPr>
        <w:spacing w:before="156" w:beforeLines="50" w:after="156" w:afterLines="50" w:line="288" w:lineRule="auto"/>
        <w:ind w:firstLine="0" w:firstLineChars="0"/>
        <w:jc w:val="center"/>
        <w:rPr>
          <w:sz w:val="24"/>
        </w:rPr>
      </w:pPr>
      <w:r>
        <w:rPr>
          <w:sz w:val="24"/>
        </w:rPr>
        <w:t>Figure 9</w:t>
      </w:r>
    </w:p>
    <w:p w14:paraId="2CFFB466">
      <w:pPr>
        <w:spacing w:before="156" w:beforeLines="50" w:after="156" w:afterLines="50" w:line="288" w:lineRule="auto"/>
        <w:ind w:left="420" w:leftChars="200" w:firstLine="480"/>
        <w:rPr>
          <w:sz w:val="24"/>
        </w:rPr>
      </w:pPr>
      <w:r>
        <w:rPr>
          <w:sz w:val="24"/>
        </w:rPr>
        <w:t>When the test resistance value is stable, the instrument will automatically calculate and display the test resistance value at the current temperature of the test object, and display the converted resistance value at the converted temperature, as shown in the figure below:</w:t>
      </w:r>
    </w:p>
    <w:p w14:paraId="68B865B3">
      <w:pPr>
        <w:spacing w:before="156" w:beforeLines="50" w:after="156" w:afterLines="50" w:line="288" w:lineRule="auto"/>
        <w:ind w:firstLine="0" w:firstLineChars="0"/>
        <w:jc w:val="center"/>
        <w:rPr>
          <w:sz w:val="24"/>
        </w:rPr>
      </w:pPr>
      <w:r>
        <w:rPr>
          <w:sz w:val="24"/>
        </w:rPr>
        <w:drawing>
          <wp:inline distT="0" distB="0" distL="0" distR="0">
            <wp:extent cx="4199255" cy="2519680"/>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29">
                      <a:extLst>
                        <a:ext uri="{28A0092B-C50C-407E-A947-70E740481C1C}">
                          <a14:useLocalDpi xmlns:a14="http://schemas.microsoft.com/office/drawing/2010/main" val="0"/>
                        </a:ext>
                      </a:extLst>
                    </a:blip>
                    <a:stretch>
                      <a:fillRect/>
                    </a:stretch>
                  </pic:blipFill>
                  <pic:spPr>
                    <a:xfrm>
                      <a:off x="0" y="0"/>
                      <a:ext cx="4199679" cy="2520000"/>
                    </a:xfrm>
                    <a:prstGeom prst="rect">
                      <a:avLst/>
                    </a:prstGeom>
                  </pic:spPr>
                </pic:pic>
              </a:graphicData>
            </a:graphic>
          </wp:inline>
        </w:drawing>
      </w:r>
    </w:p>
    <w:p w14:paraId="05226A29">
      <w:pPr>
        <w:spacing w:before="156" w:beforeLines="50" w:after="156" w:afterLines="50" w:line="288" w:lineRule="auto"/>
        <w:ind w:firstLine="0" w:firstLineChars="0"/>
        <w:jc w:val="center"/>
        <w:rPr>
          <w:sz w:val="24"/>
        </w:rPr>
      </w:pPr>
      <w:r>
        <w:rPr>
          <w:sz w:val="24"/>
        </w:rPr>
        <w:t>Figure 10</w:t>
      </w:r>
    </w:p>
    <w:p w14:paraId="144F4A1D">
      <w:pPr>
        <w:pStyle w:val="20"/>
        <w:spacing w:before="156" w:beforeLines="50" w:after="156" w:afterLines="50" w:line="288" w:lineRule="auto"/>
        <w:ind w:left="567" w:firstLine="480"/>
        <w:rPr>
          <w:sz w:val="24"/>
        </w:rPr>
      </w:pPr>
      <w:r>
        <w:rPr>
          <w:color w:val="000000"/>
          <w:sz w:val="24"/>
        </w:rPr>
        <w:t xml:space="preserve">If you need to save the current data after the test, click the </w:t>
      </w:r>
      <w:r>
        <w:rPr>
          <w:b/>
          <w:color w:val="000000"/>
          <w:sz w:val="24"/>
        </w:rPr>
        <w:t>Save</w:t>
      </w:r>
      <w:r>
        <w:rPr>
          <w:color w:val="000000"/>
          <w:sz w:val="24"/>
        </w:rPr>
        <w:t xml:space="preserve"> button, and the interface will show a "</w:t>
      </w:r>
      <w:r>
        <w:rPr>
          <w:b/>
          <w:color w:val="000000"/>
          <w:sz w:val="24"/>
        </w:rPr>
        <w:t>Saving, please wait...</w:t>
      </w:r>
      <w:r>
        <w:rPr>
          <w:color w:val="000000"/>
          <w:sz w:val="24"/>
        </w:rPr>
        <w:t>" prompt, indicating that the instrument is saving the test data. After a few seconds, the interface will show a "</w:t>
      </w:r>
      <w:r>
        <w:rPr>
          <w:b/>
          <w:color w:val="000000"/>
          <w:sz w:val="24"/>
        </w:rPr>
        <w:t>Saved successfully</w:t>
      </w:r>
      <w:r>
        <w:rPr>
          <w:color w:val="000000"/>
          <w:sz w:val="24"/>
        </w:rPr>
        <w:t>" prompt, indicating that the test data has been saved. As shown in the figure below:</w:t>
      </w:r>
    </w:p>
    <w:p w14:paraId="40DAFC3F">
      <w:pPr>
        <w:pStyle w:val="20"/>
        <w:spacing w:before="156" w:beforeLines="50" w:after="156" w:afterLines="50" w:line="288" w:lineRule="auto"/>
        <w:ind w:firstLine="0" w:firstLineChars="0"/>
        <w:jc w:val="center"/>
        <w:rPr>
          <w:sz w:val="24"/>
        </w:rPr>
      </w:pPr>
      <w:r>
        <w:rPr>
          <w:sz w:val="24"/>
        </w:rPr>
        <w:drawing>
          <wp:inline distT="0" distB="0" distL="0" distR="0">
            <wp:extent cx="3899535" cy="2339975"/>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30">
                      <a:extLst>
                        <a:ext uri="{28A0092B-C50C-407E-A947-70E740481C1C}">
                          <a14:useLocalDpi xmlns:a14="http://schemas.microsoft.com/office/drawing/2010/main" val="0"/>
                        </a:ext>
                      </a:extLst>
                    </a:blip>
                    <a:stretch>
                      <a:fillRect/>
                    </a:stretch>
                  </pic:blipFill>
                  <pic:spPr>
                    <a:xfrm>
                      <a:off x="0" y="0"/>
                      <a:ext cx="3899702" cy="2340000"/>
                    </a:xfrm>
                    <a:prstGeom prst="rect">
                      <a:avLst/>
                    </a:prstGeom>
                  </pic:spPr>
                </pic:pic>
              </a:graphicData>
            </a:graphic>
          </wp:inline>
        </w:drawing>
      </w:r>
    </w:p>
    <w:p w14:paraId="2C0BE231">
      <w:pPr>
        <w:pStyle w:val="20"/>
        <w:spacing w:before="156" w:beforeLines="50" w:after="156" w:afterLines="50" w:line="288" w:lineRule="auto"/>
        <w:ind w:firstLine="0" w:firstLineChars="0"/>
        <w:jc w:val="center"/>
        <w:rPr>
          <w:sz w:val="24"/>
        </w:rPr>
      </w:pPr>
      <w:r>
        <w:rPr>
          <w:sz w:val="24"/>
        </w:rPr>
        <w:t>Figure 11</w:t>
      </w:r>
    </w:p>
    <w:p w14:paraId="5EF13B74">
      <w:pPr>
        <w:pStyle w:val="20"/>
        <w:spacing w:before="156" w:beforeLines="50" w:after="156" w:afterLines="50" w:line="288" w:lineRule="auto"/>
        <w:ind w:firstLine="0" w:firstLineChars="0"/>
        <w:jc w:val="center"/>
        <w:rPr>
          <w:sz w:val="24"/>
        </w:rPr>
      </w:pPr>
      <w:r>
        <w:rPr>
          <w:sz w:val="24"/>
        </w:rPr>
        <w:drawing>
          <wp:inline distT="0" distB="0" distL="0" distR="0">
            <wp:extent cx="3899535" cy="2339975"/>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r:embed="rId31">
                      <a:extLst>
                        <a:ext uri="{28A0092B-C50C-407E-A947-70E740481C1C}">
                          <a14:useLocalDpi xmlns:a14="http://schemas.microsoft.com/office/drawing/2010/main" val="0"/>
                        </a:ext>
                      </a:extLst>
                    </a:blip>
                    <a:stretch>
                      <a:fillRect/>
                    </a:stretch>
                  </pic:blipFill>
                  <pic:spPr>
                    <a:xfrm>
                      <a:off x="0" y="0"/>
                      <a:ext cx="3899702" cy="2340000"/>
                    </a:xfrm>
                    <a:prstGeom prst="rect">
                      <a:avLst/>
                    </a:prstGeom>
                  </pic:spPr>
                </pic:pic>
              </a:graphicData>
            </a:graphic>
          </wp:inline>
        </w:drawing>
      </w:r>
    </w:p>
    <w:p w14:paraId="6782C02F">
      <w:pPr>
        <w:pStyle w:val="20"/>
        <w:spacing w:before="156" w:beforeLines="50" w:after="156" w:afterLines="50" w:line="288" w:lineRule="auto"/>
        <w:ind w:firstLine="0" w:firstLineChars="0"/>
        <w:jc w:val="center"/>
        <w:rPr>
          <w:sz w:val="24"/>
        </w:rPr>
      </w:pPr>
      <w:r>
        <w:rPr>
          <w:sz w:val="24"/>
        </w:rPr>
        <w:t>Figure 12</w:t>
      </w:r>
    </w:p>
    <w:p w14:paraId="1E13AC42">
      <w:pPr>
        <w:pStyle w:val="20"/>
        <w:spacing w:before="156" w:beforeLines="50" w:after="156" w:afterLines="50" w:line="288" w:lineRule="auto"/>
        <w:ind w:left="567" w:firstLine="480"/>
        <w:rPr>
          <w:sz w:val="24"/>
        </w:rPr>
      </w:pPr>
      <w:r>
        <w:rPr>
          <w:sz w:val="24"/>
        </w:rPr>
        <w:t xml:space="preserve">If you need to print the current data after the test, click the </w:t>
      </w:r>
      <w:r>
        <w:rPr>
          <w:b/>
          <w:sz w:val="24"/>
        </w:rPr>
        <w:t>Print</w:t>
      </w:r>
      <w:r>
        <w:rPr>
          <w:sz w:val="24"/>
        </w:rPr>
        <w:t xml:space="preserve"> button, and the interface will show a "</w:t>
      </w:r>
      <w:r>
        <w:rPr>
          <w:b/>
          <w:sz w:val="24"/>
        </w:rPr>
        <w:t>Printing, please wait...</w:t>
      </w:r>
      <w:r>
        <w:rPr>
          <w:sz w:val="24"/>
        </w:rPr>
        <w:t>" prompt. The instrument starts to print the test data, and when the printing is completed, the interface will display a "</w:t>
      </w:r>
      <w:r>
        <w:rPr>
          <w:b/>
          <w:sz w:val="24"/>
        </w:rPr>
        <w:t>Printing complete</w:t>
      </w:r>
      <w:r>
        <w:rPr>
          <w:sz w:val="24"/>
        </w:rPr>
        <w:t>" prompt. As shown in the figure below:</w:t>
      </w:r>
    </w:p>
    <w:p w14:paraId="73C42A01">
      <w:pPr>
        <w:pStyle w:val="20"/>
        <w:spacing w:before="156" w:beforeLines="50" w:after="156" w:afterLines="50" w:line="288" w:lineRule="auto"/>
        <w:ind w:firstLine="0" w:firstLineChars="0"/>
        <w:jc w:val="center"/>
        <w:rPr>
          <w:sz w:val="24"/>
        </w:rPr>
      </w:pPr>
      <w:r>
        <w:rPr>
          <w:sz w:val="24"/>
        </w:rPr>
        <w:drawing>
          <wp:inline distT="0" distB="0" distL="0" distR="0">
            <wp:extent cx="4079240" cy="2447925"/>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r:embed="rId32">
                      <a:extLst>
                        <a:ext uri="{28A0092B-C50C-407E-A947-70E740481C1C}">
                          <a14:useLocalDpi xmlns:a14="http://schemas.microsoft.com/office/drawing/2010/main" val="0"/>
                        </a:ext>
                      </a:extLst>
                    </a:blip>
                    <a:stretch>
                      <a:fillRect/>
                    </a:stretch>
                  </pic:blipFill>
                  <pic:spPr>
                    <a:xfrm>
                      <a:off x="0" y="0"/>
                      <a:ext cx="4079688" cy="2448000"/>
                    </a:xfrm>
                    <a:prstGeom prst="rect">
                      <a:avLst/>
                    </a:prstGeom>
                  </pic:spPr>
                </pic:pic>
              </a:graphicData>
            </a:graphic>
          </wp:inline>
        </w:drawing>
      </w:r>
    </w:p>
    <w:p w14:paraId="478C53E3">
      <w:pPr>
        <w:pStyle w:val="20"/>
        <w:spacing w:before="156" w:beforeLines="50" w:after="156" w:afterLines="50" w:line="288" w:lineRule="auto"/>
        <w:ind w:firstLine="0" w:firstLineChars="0"/>
        <w:jc w:val="center"/>
        <w:rPr>
          <w:sz w:val="24"/>
        </w:rPr>
      </w:pPr>
      <w:r>
        <w:rPr>
          <w:sz w:val="24"/>
        </w:rPr>
        <w:t>Figure 13</w:t>
      </w:r>
    </w:p>
    <w:p w14:paraId="6D7AF81D">
      <w:pPr>
        <w:pStyle w:val="20"/>
        <w:spacing w:before="156" w:beforeLines="50" w:after="156" w:afterLines="50" w:line="288" w:lineRule="auto"/>
        <w:ind w:firstLine="0" w:firstLineChars="0"/>
        <w:jc w:val="center"/>
        <w:rPr>
          <w:sz w:val="24"/>
        </w:rPr>
      </w:pPr>
      <w:r>
        <w:rPr>
          <w:sz w:val="24"/>
        </w:rPr>
        <w:drawing>
          <wp:inline distT="0" distB="0" distL="0" distR="0">
            <wp:extent cx="4199255" cy="2519680"/>
            <wp:effectExtent l="0" t="0" r="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0" y="0"/>
                      <a:ext cx="4199679" cy="2520000"/>
                    </a:xfrm>
                    <a:prstGeom prst="rect">
                      <a:avLst/>
                    </a:prstGeom>
                  </pic:spPr>
                </pic:pic>
              </a:graphicData>
            </a:graphic>
          </wp:inline>
        </w:drawing>
      </w:r>
    </w:p>
    <w:p w14:paraId="218D69C5">
      <w:pPr>
        <w:pStyle w:val="20"/>
        <w:spacing w:before="156" w:beforeLines="50" w:after="156" w:afterLines="50" w:line="288" w:lineRule="auto"/>
        <w:ind w:firstLine="0" w:firstLineChars="0"/>
        <w:jc w:val="center"/>
        <w:rPr>
          <w:sz w:val="24"/>
        </w:rPr>
      </w:pPr>
      <w:r>
        <w:rPr>
          <w:sz w:val="24"/>
        </w:rPr>
        <w:t>Figure 14</w:t>
      </w:r>
    </w:p>
    <w:p w14:paraId="491F8082">
      <w:pPr>
        <w:pStyle w:val="20"/>
        <w:spacing w:before="156" w:beforeLines="50" w:after="156" w:afterLines="50" w:line="288" w:lineRule="auto"/>
        <w:ind w:left="567" w:firstLine="480"/>
        <w:rPr>
          <w:sz w:val="24"/>
        </w:rPr>
      </w:pPr>
      <w:r>
        <w:rPr>
          <w:sz w:val="24"/>
        </w:rPr>
        <w:t xml:space="preserve">After that, click the </w:t>
      </w:r>
      <w:r>
        <w:rPr>
          <w:b/>
          <w:sz w:val="24"/>
        </w:rPr>
        <w:t>Stop</w:t>
      </w:r>
      <w:r>
        <w:rPr>
          <w:sz w:val="24"/>
        </w:rPr>
        <w:t xml:space="preserve"> button to start the discharge of the instrument, and the LCD interface will show the prompt "</w:t>
      </w:r>
      <w:r>
        <w:rPr>
          <w:b/>
          <w:sz w:val="24"/>
        </w:rPr>
        <w:t>Please do not remove the wire when discharging!</w:t>
      </w:r>
      <w:r>
        <w:rPr>
          <w:sz w:val="24"/>
        </w:rPr>
        <w:t>" And there will be audible alarm, and LCD will return to the current selection interface. As shown in the figure below:</w:t>
      </w:r>
    </w:p>
    <w:p w14:paraId="5891E22D">
      <w:pPr>
        <w:pStyle w:val="20"/>
        <w:spacing w:before="156" w:beforeLines="50" w:after="156" w:afterLines="50" w:line="288" w:lineRule="auto"/>
        <w:ind w:firstLine="0" w:firstLineChars="0"/>
        <w:jc w:val="center"/>
        <w:rPr>
          <w:sz w:val="24"/>
        </w:rPr>
      </w:pPr>
      <w:r>
        <w:rPr>
          <w:sz w:val="24"/>
        </w:rPr>
        <w:drawing>
          <wp:inline distT="0" distB="0" distL="0" distR="0">
            <wp:extent cx="4199255" cy="2519680"/>
            <wp:effectExtent l="0" t="0" r="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4199679" cy="2520000"/>
                    </a:xfrm>
                    <a:prstGeom prst="rect">
                      <a:avLst/>
                    </a:prstGeom>
                  </pic:spPr>
                </pic:pic>
              </a:graphicData>
            </a:graphic>
          </wp:inline>
        </w:drawing>
      </w:r>
    </w:p>
    <w:p w14:paraId="6F9EC837">
      <w:pPr>
        <w:pStyle w:val="20"/>
        <w:spacing w:before="156" w:beforeLines="50" w:after="156" w:afterLines="50" w:line="288" w:lineRule="auto"/>
        <w:ind w:firstLine="0" w:firstLineChars="0"/>
        <w:jc w:val="center"/>
        <w:rPr>
          <w:sz w:val="24"/>
        </w:rPr>
      </w:pPr>
      <w:r>
        <w:rPr>
          <w:sz w:val="24"/>
        </w:rPr>
        <w:t>Figure 15</w:t>
      </w:r>
    </w:p>
    <w:p w14:paraId="3973C717">
      <w:pPr>
        <w:spacing w:before="156" w:beforeLines="50" w:after="156" w:afterLines="50" w:line="288" w:lineRule="auto"/>
        <w:ind w:firstLine="482"/>
        <w:rPr>
          <w:sz w:val="24"/>
        </w:rPr>
      </w:pPr>
      <w:r>
        <w:rPr>
          <w:b/>
          <w:sz w:val="24"/>
        </w:rPr>
        <w:t>Unbalance rate calculation:</w:t>
      </w:r>
      <w:r>
        <w:rPr>
          <w:sz w:val="24"/>
        </w:rPr>
        <w:t xml:space="preserve"> The instrument has two states for calculating the unbalance rate, </w:t>
      </w:r>
      <w:r>
        <w:rPr>
          <w:b/>
          <w:sz w:val="24"/>
        </w:rPr>
        <w:t>OFF</w:t>
      </w:r>
      <w:r>
        <w:rPr>
          <w:sz w:val="24"/>
        </w:rPr>
        <w:t xml:space="preserve"> and </w:t>
      </w:r>
      <w:r>
        <w:rPr>
          <w:b/>
          <w:sz w:val="24"/>
        </w:rPr>
        <w:t>ON</w:t>
      </w:r>
      <w:r>
        <w:rPr>
          <w:sz w:val="24"/>
        </w:rPr>
        <w:t xml:space="preserve">, which are displayed in a cyclic manner. The instrument is set to the default state of </w:t>
      </w:r>
      <w:r>
        <w:rPr>
          <w:b/>
          <w:sz w:val="24"/>
        </w:rPr>
        <w:t>OFF</w:t>
      </w:r>
      <w:r>
        <w:rPr>
          <w:sz w:val="24"/>
        </w:rPr>
        <w:t xml:space="preserve"> (i.e., the calculation of the unbalance rate is not enabled). After pressing the button, it will display </w:t>
      </w:r>
      <w:r>
        <w:rPr>
          <w:b/>
          <w:sz w:val="24"/>
        </w:rPr>
        <w:t>ON</w:t>
      </w:r>
      <w:r>
        <w:rPr>
          <w:sz w:val="24"/>
        </w:rPr>
        <w:t xml:space="preserve"> (i.e., the calculation of the unbalance rate is enabled). For example, click the </w:t>
      </w:r>
      <w:r>
        <w:rPr>
          <w:b/>
          <w:sz w:val="24"/>
        </w:rPr>
        <w:t>Unbalance Rate Calculation</w:t>
      </w:r>
      <w:r>
        <w:rPr>
          <w:sz w:val="24"/>
        </w:rPr>
        <w:t xml:space="preserve"> option, the interface displays </w:t>
      </w:r>
      <w:r>
        <w:rPr>
          <w:b/>
          <w:sz w:val="24"/>
        </w:rPr>
        <w:t>ON</w:t>
      </w:r>
      <w:r>
        <w:rPr>
          <w:sz w:val="24"/>
        </w:rPr>
        <w:t xml:space="preserve"> status, and then select the current gear. The instrument enters the test interface. When the test value is stable, set the test phase as </w:t>
      </w:r>
      <w:r>
        <w:rPr>
          <w:b/>
          <w:sz w:val="24"/>
        </w:rPr>
        <w:t>AB</w:t>
      </w:r>
      <w:r>
        <w:rPr>
          <w:sz w:val="24"/>
        </w:rPr>
        <w:t xml:space="preserve">, then click the </w:t>
      </w:r>
      <w:r>
        <w:rPr>
          <w:b/>
          <w:sz w:val="24"/>
        </w:rPr>
        <w:t>Save</w:t>
      </w:r>
      <w:r>
        <w:rPr>
          <w:sz w:val="24"/>
        </w:rPr>
        <w:t xml:space="preserve"> button to save the test record, and select the Stop button to discharge, as shown in the figure below:</w:t>
      </w:r>
    </w:p>
    <w:p w14:paraId="29A9806B">
      <w:pPr>
        <w:spacing w:before="156" w:beforeLines="50" w:after="156" w:afterLines="50" w:line="288" w:lineRule="auto"/>
        <w:ind w:firstLine="0" w:firstLineChars="0"/>
        <w:jc w:val="center"/>
        <w:rPr>
          <w:sz w:val="24"/>
        </w:rPr>
      </w:pPr>
      <w:r>
        <w:rPr>
          <w:sz w:val="24"/>
        </w:rPr>
        <w:drawing>
          <wp:inline distT="0" distB="0" distL="0" distR="0">
            <wp:extent cx="4199255" cy="2519680"/>
            <wp:effectExtent l="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r:embed="rId35">
                      <a:extLst>
                        <a:ext uri="{28A0092B-C50C-407E-A947-70E740481C1C}">
                          <a14:useLocalDpi xmlns:a14="http://schemas.microsoft.com/office/drawing/2010/main" val="0"/>
                        </a:ext>
                      </a:extLst>
                    </a:blip>
                    <a:stretch>
                      <a:fillRect/>
                    </a:stretch>
                  </pic:blipFill>
                  <pic:spPr>
                    <a:xfrm>
                      <a:off x="0" y="0"/>
                      <a:ext cx="4199679" cy="2520000"/>
                    </a:xfrm>
                    <a:prstGeom prst="rect">
                      <a:avLst/>
                    </a:prstGeom>
                  </pic:spPr>
                </pic:pic>
              </a:graphicData>
            </a:graphic>
          </wp:inline>
        </w:drawing>
      </w:r>
    </w:p>
    <w:p w14:paraId="66B05226">
      <w:pPr>
        <w:spacing w:before="156" w:beforeLines="50" w:after="156" w:afterLines="50" w:line="288" w:lineRule="auto"/>
        <w:ind w:firstLine="0" w:firstLineChars="0"/>
        <w:jc w:val="center"/>
        <w:rPr>
          <w:sz w:val="24"/>
        </w:rPr>
      </w:pPr>
      <w:r>
        <w:rPr>
          <w:sz w:val="24"/>
        </w:rPr>
        <w:t>Figure 16</w:t>
      </w:r>
    </w:p>
    <w:p w14:paraId="154C6E5F">
      <w:pPr>
        <w:spacing w:before="156" w:beforeLines="50" w:after="156" w:afterLines="50" w:line="288" w:lineRule="auto"/>
        <w:ind w:firstLine="480"/>
        <w:rPr>
          <w:sz w:val="24"/>
        </w:rPr>
      </w:pPr>
      <w:r>
        <w:rPr>
          <w:sz w:val="24"/>
        </w:rPr>
        <w:t xml:space="preserve">Test phase the </w:t>
      </w:r>
      <w:r>
        <w:rPr>
          <w:b/>
          <w:sz w:val="24"/>
        </w:rPr>
        <w:t>BC</w:t>
      </w:r>
      <w:r>
        <w:rPr>
          <w:sz w:val="24"/>
        </w:rPr>
        <w:t xml:space="preserve"> phase in the same way, then click the </w:t>
      </w:r>
      <w:r>
        <w:rPr>
          <w:b/>
          <w:sz w:val="24"/>
        </w:rPr>
        <w:t>Save</w:t>
      </w:r>
      <w:r>
        <w:rPr>
          <w:sz w:val="24"/>
        </w:rPr>
        <w:t xml:space="preserve"> button to save the test record, and select the Stop button to discharge, as shown in the figure below:</w:t>
      </w:r>
    </w:p>
    <w:p w14:paraId="303301F0">
      <w:pPr>
        <w:spacing w:before="156" w:beforeLines="50" w:after="156" w:afterLines="50" w:line="288" w:lineRule="auto"/>
        <w:ind w:firstLine="0" w:firstLineChars="0"/>
        <w:jc w:val="center"/>
        <w:rPr>
          <w:sz w:val="24"/>
        </w:rPr>
      </w:pPr>
      <w:r>
        <w:rPr>
          <w:sz w:val="24"/>
        </w:rPr>
        <w:drawing>
          <wp:inline distT="0" distB="0" distL="0" distR="0">
            <wp:extent cx="4199255" cy="2519680"/>
            <wp:effectExtent l="0" t="0" r="0"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r:embed="rId36">
                      <a:extLst>
                        <a:ext uri="{28A0092B-C50C-407E-A947-70E740481C1C}">
                          <a14:useLocalDpi xmlns:a14="http://schemas.microsoft.com/office/drawing/2010/main" val="0"/>
                        </a:ext>
                      </a:extLst>
                    </a:blip>
                    <a:stretch>
                      <a:fillRect/>
                    </a:stretch>
                  </pic:blipFill>
                  <pic:spPr>
                    <a:xfrm>
                      <a:off x="0" y="0"/>
                      <a:ext cx="4199679" cy="2520000"/>
                    </a:xfrm>
                    <a:prstGeom prst="rect">
                      <a:avLst/>
                    </a:prstGeom>
                  </pic:spPr>
                </pic:pic>
              </a:graphicData>
            </a:graphic>
          </wp:inline>
        </w:drawing>
      </w:r>
    </w:p>
    <w:p w14:paraId="2FDE1C58">
      <w:pPr>
        <w:spacing w:before="156" w:beforeLines="50" w:after="156" w:afterLines="50" w:line="288" w:lineRule="auto"/>
        <w:ind w:firstLine="0" w:firstLineChars="0"/>
        <w:jc w:val="center"/>
        <w:rPr>
          <w:sz w:val="24"/>
        </w:rPr>
      </w:pPr>
      <w:r>
        <w:rPr>
          <w:sz w:val="24"/>
        </w:rPr>
        <w:t>Figure 17</w:t>
      </w:r>
    </w:p>
    <w:p w14:paraId="76F232BC">
      <w:pPr>
        <w:spacing w:before="156" w:beforeLines="50" w:after="156" w:afterLines="50" w:line="288" w:lineRule="auto"/>
        <w:ind w:firstLine="480"/>
        <w:rPr>
          <w:sz w:val="24"/>
        </w:rPr>
      </w:pPr>
      <w:r>
        <w:rPr>
          <w:sz w:val="24"/>
        </w:rPr>
        <w:t xml:space="preserve">Finally, test the </w:t>
      </w:r>
      <w:r>
        <w:rPr>
          <w:b/>
          <w:sz w:val="24"/>
        </w:rPr>
        <w:t>CA</w:t>
      </w:r>
      <w:r>
        <w:rPr>
          <w:sz w:val="24"/>
        </w:rPr>
        <w:t xml:space="preserve"> phase, and then click the </w:t>
      </w:r>
      <w:r>
        <w:rPr>
          <w:b/>
          <w:sz w:val="24"/>
        </w:rPr>
        <w:t>Save</w:t>
      </w:r>
      <w:r>
        <w:rPr>
          <w:sz w:val="24"/>
        </w:rPr>
        <w:t xml:space="preserve"> button to display the test results for the three phases and the unbalance rate on the LCD. As shown in the figure below:</w:t>
      </w:r>
    </w:p>
    <w:p w14:paraId="44913D2C">
      <w:pPr>
        <w:spacing w:before="156" w:beforeLines="50" w:after="156" w:afterLines="50" w:line="288" w:lineRule="auto"/>
        <w:ind w:firstLine="0" w:firstLineChars="0"/>
        <w:jc w:val="center"/>
        <w:rPr>
          <w:sz w:val="24"/>
        </w:rPr>
      </w:pPr>
      <w:r>
        <w:rPr>
          <w:sz w:val="24"/>
        </w:rPr>
        <w:drawing>
          <wp:inline distT="0" distB="0" distL="0" distR="0">
            <wp:extent cx="4199255" cy="2519680"/>
            <wp:effectExtent l="0" t="0" r="0"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r:embed="rId37">
                      <a:extLst>
                        <a:ext uri="{28A0092B-C50C-407E-A947-70E740481C1C}">
                          <a14:useLocalDpi xmlns:a14="http://schemas.microsoft.com/office/drawing/2010/main" val="0"/>
                        </a:ext>
                      </a:extLst>
                    </a:blip>
                    <a:stretch>
                      <a:fillRect/>
                    </a:stretch>
                  </pic:blipFill>
                  <pic:spPr>
                    <a:xfrm>
                      <a:off x="0" y="0"/>
                      <a:ext cx="4199679" cy="2520000"/>
                    </a:xfrm>
                    <a:prstGeom prst="rect">
                      <a:avLst/>
                    </a:prstGeom>
                  </pic:spPr>
                </pic:pic>
              </a:graphicData>
            </a:graphic>
          </wp:inline>
        </w:drawing>
      </w:r>
    </w:p>
    <w:p w14:paraId="12E4A9F6">
      <w:pPr>
        <w:spacing w:before="156" w:beforeLines="50" w:after="156" w:afterLines="50" w:line="288" w:lineRule="auto"/>
        <w:ind w:firstLine="0" w:firstLineChars="0"/>
        <w:jc w:val="center"/>
        <w:rPr>
          <w:sz w:val="24"/>
        </w:rPr>
      </w:pPr>
      <w:r>
        <w:rPr>
          <w:sz w:val="24"/>
        </w:rPr>
        <w:t>Figure 18</w:t>
      </w:r>
    </w:p>
    <w:p w14:paraId="69590833">
      <w:pPr>
        <w:pStyle w:val="20"/>
        <w:spacing w:before="156" w:beforeLines="50" w:after="156" w:afterLines="50" w:line="288" w:lineRule="auto"/>
        <w:ind w:left="420" w:leftChars="200" w:firstLine="0" w:firstLineChars="0"/>
        <w:rPr>
          <w:b/>
          <w:bCs/>
          <w:sz w:val="24"/>
        </w:rPr>
      </w:pPr>
      <w:r>
        <w:rPr>
          <w:b/>
          <w:sz w:val="24"/>
        </w:rPr>
        <w:t>Note: When testing the inductive load, be sure to wait until the discharge alarm tone is over before rewiring for the next measurement, or turn off the power supply and remove the test wire!</w:t>
      </w:r>
    </w:p>
    <w:p w14:paraId="179C7175">
      <w:pPr>
        <w:spacing w:before="156" w:beforeLines="50" w:after="156" w:afterLines="50" w:line="288" w:lineRule="auto"/>
        <w:ind w:left="420" w:leftChars="200" w:firstLine="0" w:firstLineChars="0"/>
        <w:jc w:val="left"/>
        <w:rPr>
          <w:szCs w:val="21"/>
        </w:rPr>
      </w:pPr>
      <w:r>
        <w:rPr>
          <w:sz w:val="24"/>
        </w:rPr>
        <w:t xml:space="preserve"> (3) </w:t>
      </w:r>
      <w:r>
        <w:rPr>
          <w:b/>
          <w:sz w:val="24"/>
        </w:rPr>
        <w:t>Record query:</w:t>
      </w:r>
      <w:r>
        <w:rPr>
          <w:sz w:val="24"/>
        </w:rPr>
        <w:t xml:space="preserve"> Enter the main menu interface after starting up, and click the "</w:t>
      </w:r>
      <w:r>
        <w:rPr>
          <w:b/>
          <w:sz w:val="24"/>
        </w:rPr>
        <w:t>Record Query</w:t>
      </w:r>
      <w:r>
        <w:rPr>
          <w:sz w:val="24"/>
        </w:rPr>
        <w:t>" menu to display the saved record data, as shown in the figure below:</w:t>
      </w:r>
    </w:p>
    <w:p w14:paraId="67B962AE">
      <w:pPr>
        <w:spacing w:before="156" w:beforeLines="50" w:after="156" w:afterLines="50" w:line="288" w:lineRule="auto"/>
        <w:ind w:firstLine="0" w:firstLineChars="0"/>
        <w:jc w:val="center"/>
        <w:rPr>
          <w:sz w:val="24"/>
        </w:rPr>
      </w:pPr>
      <w:r>
        <w:rPr>
          <w:sz w:val="24"/>
        </w:rPr>
        <w:drawing>
          <wp:inline distT="0" distB="0" distL="0" distR="0">
            <wp:extent cx="4199255" cy="2519680"/>
            <wp:effectExtent l="0" t="0" r="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r:embed="rId38">
                      <a:extLst>
                        <a:ext uri="{28A0092B-C50C-407E-A947-70E740481C1C}">
                          <a14:useLocalDpi xmlns:a14="http://schemas.microsoft.com/office/drawing/2010/main" val="0"/>
                        </a:ext>
                      </a:extLst>
                    </a:blip>
                    <a:stretch>
                      <a:fillRect/>
                    </a:stretch>
                  </pic:blipFill>
                  <pic:spPr>
                    <a:xfrm>
                      <a:off x="0" y="0"/>
                      <a:ext cx="4199679" cy="2520000"/>
                    </a:xfrm>
                    <a:prstGeom prst="rect">
                      <a:avLst/>
                    </a:prstGeom>
                  </pic:spPr>
                </pic:pic>
              </a:graphicData>
            </a:graphic>
          </wp:inline>
        </w:drawing>
      </w:r>
    </w:p>
    <w:p w14:paraId="4E0B8A7F">
      <w:pPr>
        <w:spacing w:before="156" w:beforeLines="50" w:after="156" w:afterLines="50" w:line="288" w:lineRule="auto"/>
        <w:ind w:firstLine="0" w:firstLineChars="0"/>
        <w:jc w:val="center"/>
        <w:rPr>
          <w:sz w:val="24"/>
        </w:rPr>
      </w:pPr>
      <w:r>
        <w:rPr>
          <w:sz w:val="24"/>
        </w:rPr>
        <w:t>Figure 19</w:t>
      </w:r>
    </w:p>
    <w:p w14:paraId="2BCD0972">
      <w:pPr>
        <w:spacing w:before="156" w:beforeLines="50" w:after="156" w:afterLines="50" w:line="288" w:lineRule="auto"/>
        <w:ind w:left="420" w:leftChars="200" w:firstLine="0" w:firstLineChars="0"/>
        <w:rPr>
          <w:b/>
          <w:bCs/>
          <w:sz w:val="24"/>
        </w:rPr>
      </w:pPr>
      <w:r>
        <w:rPr>
          <w:b/>
          <w:sz w:val="24"/>
        </w:rPr>
        <w:t>Previous and Next :</w:t>
      </w:r>
      <w:r>
        <w:rPr>
          <w:sz w:val="24"/>
        </w:rPr>
        <w:t xml:space="preserve"> Click the </w:t>
      </w:r>
      <w:r>
        <w:rPr>
          <w:b/>
          <w:sz w:val="24"/>
        </w:rPr>
        <w:t>Previous</w:t>
      </w:r>
      <w:r>
        <w:rPr>
          <w:sz w:val="24"/>
        </w:rPr>
        <w:t xml:space="preserve"> button or the </w:t>
      </w:r>
      <w:r>
        <w:rPr>
          <w:b/>
          <w:sz w:val="24"/>
        </w:rPr>
        <w:t>Next</w:t>
      </w:r>
      <w:r>
        <w:rPr>
          <w:sz w:val="24"/>
        </w:rPr>
        <w:t xml:space="preserve"> button to flip the page and view the saved test data.</w:t>
      </w:r>
    </w:p>
    <w:p w14:paraId="73F0360C">
      <w:pPr>
        <w:spacing w:before="156" w:beforeLines="50" w:after="156" w:afterLines="50" w:line="288" w:lineRule="auto"/>
        <w:ind w:left="420" w:leftChars="200" w:firstLine="0" w:firstLineChars="0"/>
        <w:rPr>
          <w:sz w:val="24"/>
        </w:rPr>
      </w:pPr>
      <w:r>
        <w:rPr>
          <w:b/>
          <w:sz w:val="24"/>
        </w:rPr>
        <w:t>Delete:</w:t>
      </w:r>
      <w:r>
        <w:rPr>
          <w:sz w:val="24"/>
        </w:rPr>
        <w:t xml:space="preserve"> Select the Delete button, and the interface will display "</w:t>
      </w:r>
      <w:r>
        <w:rPr>
          <w:b/>
          <w:sz w:val="24"/>
        </w:rPr>
        <w:t>Deleting, please wait…</w:t>
      </w:r>
      <w:r>
        <w:rPr>
          <w:sz w:val="24"/>
        </w:rPr>
        <w:t>" prompt box, and then the instrument deletes all test records.</w:t>
      </w:r>
    </w:p>
    <w:p w14:paraId="6156702E">
      <w:pPr>
        <w:spacing w:before="156" w:beforeLines="50" w:after="156" w:afterLines="50" w:line="288" w:lineRule="auto"/>
        <w:ind w:left="420" w:leftChars="200" w:firstLine="0" w:firstLineChars="0"/>
        <w:rPr>
          <w:sz w:val="24"/>
        </w:rPr>
      </w:pPr>
      <w:r>
        <w:rPr>
          <w:b/>
          <w:sz w:val="24"/>
        </w:rPr>
        <w:t>Print:</w:t>
      </w:r>
      <w:r>
        <w:rPr>
          <w:sz w:val="24"/>
        </w:rPr>
        <w:t xml:space="preserve"> First select the data column to be printed, the font turns red after selection. Then click the </w:t>
      </w:r>
      <w:r>
        <w:rPr>
          <w:b/>
          <w:sz w:val="24"/>
        </w:rPr>
        <w:t>Print</w:t>
      </w:r>
      <w:r>
        <w:rPr>
          <w:sz w:val="24"/>
        </w:rPr>
        <w:t xml:space="preserve"> button, and the interface displays a prompt box "</w:t>
      </w:r>
      <w:r>
        <w:rPr>
          <w:b/>
          <w:sz w:val="24"/>
        </w:rPr>
        <w:t>Printing, please wait …</w:t>
      </w:r>
      <w:r>
        <w:rPr>
          <w:sz w:val="24"/>
        </w:rPr>
        <w:t>". The instrument will start printing the selected test records until the printing is completed.</w:t>
      </w:r>
    </w:p>
    <w:p w14:paraId="4C1A7E6F">
      <w:pPr>
        <w:spacing w:before="156" w:beforeLines="50" w:after="156" w:afterLines="50" w:line="288" w:lineRule="auto"/>
        <w:ind w:left="420" w:leftChars="200" w:firstLine="0" w:firstLineChars="0"/>
        <w:rPr>
          <w:sz w:val="24"/>
        </w:rPr>
      </w:pPr>
      <w:r>
        <w:rPr>
          <w:b/>
          <w:sz w:val="24"/>
        </w:rPr>
        <w:t>Export:</w:t>
      </w:r>
      <w:r>
        <w:rPr>
          <w:sz w:val="24"/>
        </w:rPr>
        <w:t xml:space="preserve"> First select the data column to be exported, the font turns red after selection. Then click the </w:t>
      </w:r>
      <w:r>
        <w:rPr>
          <w:b/>
          <w:sz w:val="24"/>
        </w:rPr>
        <w:t>Export</w:t>
      </w:r>
      <w:r>
        <w:rPr>
          <w:sz w:val="24"/>
        </w:rPr>
        <w:t xml:space="preserve"> button. If the instrument is not inserted with a USB flash drive, the interface will display a prompt box saying "</w:t>
      </w:r>
      <w:r>
        <w:rPr>
          <w:b/>
          <w:sz w:val="24"/>
        </w:rPr>
        <w:t>Please insert the USB flash drive</w:t>
      </w:r>
      <w:r>
        <w:rPr>
          <w:sz w:val="24"/>
        </w:rPr>
        <w:t>". If the instrument is already inserted with a USB flash drive, the interface will display a prompt box saying "</w:t>
      </w:r>
      <w:r>
        <w:rPr>
          <w:b/>
          <w:sz w:val="24"/>
        </w:rPr>
        <w:t>Exporting, please wait...</w:t>
      </w:r>
      <w:r>
        <w:rPr>
          <w:sz w:val="24"/>
        </w:rPr>
        <w:t>". When the export is completed, the interface will display a prompt box saying "</w:t>
      </w:r>
      <w:r>
        <w:rPr>
          <w:b/>
          <w:sz w:val="24"/>
        </w:rPr>
        <w:t>Export completed</w:t>
      </w:r>
      <w:r>
        <w:rPr>
          <w:sz w:val="24"/>
        </w:rPr>
        <w:t>".</w:t>
      </w:r>
    </w:p>
    <w:p w14:paraId="2F714D7B">
      <w:pPr>
        <w:spacing w:before="156" w:beforeLines="50" w:after="156" w:afterLines="50" w:line="288" w:lineRule="auto"/>
        <w:ind w:left="420" w:leftChars="200" w:firstLine="0" w:firstLineChars="0"/>
        <w:rPr>
          <w:sz w:val="24"/>
        </w:rPr>
      </w:pPr>
      <w:r>
        <w:rPr>
          <w:sz w:val="24"/>
        </w:rPr>
        <w:t xml:space="preserve">When the operation is completed, click </w:t>
      </w:r>
      <w:r>
        <w:rPr>
          <w:b/>
          <w:sz w:val="24"/>
        </w:rPr>
        <w:t>Return</w:t>
      </w:r>
      <w:r>
        <w:rPr>
          <w:sz w:val="24"/>
        </w:rPr>
        <w:t xml:space="preserve"> to exit the record query menu.</w:t>
      </w:r>
    </w:p>
    <w:p w14:paraId="28B62367">
      <w:pPr>
        <w:spacing w:before="156" w:beforeLines="50" w:after="156" w:afterLines="50" w:line="288" w:lineRule="auto"/>
        <w:ind w:left="420" w:leftChars="200" w:firstLine="0" w:firstLineChars="0"/>
        <w:jc w:val="left"/>
        <w:rPr>
          <w:sz w:val="24"/>
        </w:rPr>
      </w:pPr>
      <w:r>
        <w:rPr>
          <w:sz w:val="24"/>
        </w:rPr>
        <w:t xml:space="preserve"> (4) </w:t>
      </w:r>
      <w:r>
        <w:rPr>
          <w:b/>
          <w:sz w:val="24"/>
        </w:rPr>
        <w:t>Time correction:</w:t>
      </w:r>
      <w:r>
        <w:rPr>
          <w:sz w:val="24"/>
        </w:rPr>
        <w:t xml:space="preserve"> Enter the main menu interface after starting up. Click the "</w:t>
      </w:r>
      <w:r>
        <w:rPr>
          <w:b/>
          <w:sz w:val="24"/>
        </w:rPr>
        <w:t>Time Correction</w:t>
      </w:r>
      <w:r>
        <w:rPr>
          <w:sz w:val="24"/>
        </w:rPr>
        <w:t>" menu to enter the interface, as shown in the figure below:</w:t>
      </w:r>
    </w:p>
    <w:p w14:paraId="6E78F757">
      <w:pPr>
        <w:spacing w:before="156" w:beforeLines="50" w:after="156" w:afterLines="50" w:line="288" w:lineRule="auto"/>
        <w:ind w:firstLine="0" w:firstLineChars="0"/>
        <w:jc w:val="center"/>
        <w:rPr>
          <w:sz w:val="24"/>
        </w:rPr>
      </w:pPr>
      <w:r>
        <w:rPr>
          <w:sz w:val="24"/>
        </w:rPr>
        <w:drawing>
          <wp:inline distT="0" distB="0" distL="0" distR="0">
            <wp:extent cx="4199255" cy="2519680"/>
            <wp:effectExtent l="0" t="0" r="0" b="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r:embed="rId39">
                      <a:extLst>
                        <a:ext uri="{28A0092B-C50C-407E-A947-70E740481C1C}">
                          <a14:useLocalDpi xmlns:a14="http://schemas.microsoft.com/office/drawing/2010/main" val="0"/>
                        </a:ext>
                      </a:extLst>
                    </a:blip>
                    <a:stretch>
                      <a:fillRect/>
                    </a:stretch>
                  </pic:blipFill>
                  <pic:spPr>
                    <a:xfrm>
                      <a:off x="0" y="0"/>
                      <a:ext cx="4199679" cy="2520000"/>
                    </a:xfrm>
                    <a:prstGeom prst="rect">
                      <a:avLst/>
                    </a:prstGeom>
                  </pic:spPr>
                </pic:pic>
              </a:graphicData>
            </a:graphic>
          </wp:inline>
        </w:drawing>
      </w:r>
    </w:p>
    <w:p w14:paraId="31B5A50A">
      <w:pPr>
        <w:spacing w:before="156" w:beforeLines="50" w:after="156" w:afterLines="50" w:line="288" w:lineRule="auto"/>
        <w:ind w:firstLine="0" w:firstLineChars="0"/>
        <w:jc w:val="center"/>
        <w:rPr>
          <w:sz w:val="24"/>
        </w:rPr>
      </w:pPr>
      <w:r>
        <w:rPr>
          <w:sz w:val="24"/>
        </w:rPr>
        <w:t>Figure 20</w:t>
      </w:r>
    </w:p>
    <w:p w14:paraId="208941C8">
      <w:pPr>
        <w:pStyle w:val="20"/>
        <w:spacing w:before="156" w:beforeLines="50" w:after="156" w:afterLines="50" w:line="288" w:lineRule="auto"/>
        <w:ind w:left="420" w:leftChars="200" w:firstLine="480"/>
        <w:jc w:val="left"/>
        <w:rPr>
          <w:sz w:val="24"/>
        </w:rPr>
      </w:pPr>
      <w:r>
        <w:rPr>
          <w:sz w:val="24"/>
        </w:rPr>
        <w:t>Click on the display boxes for "</w:t>
      </w:r>
      <w:r>
        <w:rPr>
          <w:b/>
          <w:sz w:val="24"/>
        </w:rPr>
        <w:t>Year</w:t>
      </w:r>
      <w:r>
        <w:rPr>
          <w:sz w:val="24"/>
        </w:rPr>
        <w:t>", "</w:t>
      </w:r>
      <w:r>
        <w:rPr>
          <w:b/>
          <w:sz w:val="24"/>
        </w:rPr>
        <w:t>Month</w:t>
      </w:r>
      <w:r>
        <w:rPr>
          <w:sz w:val="24"/>
        </w:rPr>
        <w:t>", "</w:t>
      </w:r>
      <w:r>
        <w:rPr>
          <w:b/>
          <w:sz w:val="24"/>
        </w:rPr>
        <w:t>Day</w:t>
      </w:r>
      <w:r>
        <w:rPr>
          <w:sz w:val="24"/>
        </w:rPr>
        <w:t>", "</w:t>
      </w:r>
      <w:r>
        <w:rPr>
          <w:b/>
          <w:sz w:val="24"/>
        </w:rPr>
        <w:t>Hour</w:t>
      </w:r>
      <w:r>
        <w:rPr>
          <w:sz w:val="24"/>
        </w:rPr>
        <w:t>", "</w:t>
      </w:r>
      <w:r>
        <w:rPr>
          <w:b/>
          <w:sz w:val="24"/>
        </w:rPr>
        <w:t>Minute</w:t>
      </w:r>
      <w:r>
        <w:rPr>
          <w:sz w:val="24"/>
        </w:rPr>
        <w:t>", and "</w:t>
      </w:r>
      <w:r>
        <w:rPr>
          <w:b/>
          <w:sz w:val="24"/>
        </w:rPr>
        <w:t>Second</w:t>
      </w:r>
      <w:r>
        <w:rPr>
          <w:sz w:val="24"/>
        </w:rPr>
        <w:t>", the interface will show a numeric keypad. To modify the values of the selected option, press the "</w:t>
      </w:r>
      <w:r>
        <w:rPr>
          <w:b/>
          <w:sz w:val="24"/>
        </w:rPr>
        <w:t>OK</w:t>
      </w:r>
      <w:r>
        <w:rPr>
          <w:sz w:val="24"/>
        </w:rPr>
        <w:t>" button. Enter the accurate value to correct the date and time, as shown in the figure below:</w:t>
      </w:r>
    </w:p>
    <w:p w14:paraId="4CAD64A1">
      <w:pPr>
        <w:pStyle w:val="20"/>
        <w:spacing w:before="156" w:beforeLines="50" w:after="156" w:afterLines="50" w:line="288" w:lineRule="auto"/>
        <w:ind w:firstLine="0" w:firstLineChars="0"/>
        <w:jc w:val="center"/>
        <w:rPr>
          <w:sz w:val="24"/>
        </w:rPr>
      </w:pPr>
      <w:r>
        <w:rPr>
          <w:sz w:val="24"/>
        </w:rPr>
        <w:drawing>
          <wp:inline distT="0" distB="0" distL="0" distR="0">
            <wp:extent cx="4199255" cy="2519680"/>
            <wp:effectExtent l="0" t="0" r="0" b="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r:embed="rId40">
                      <a:extLst>
                        <a:ext uri="{28A0092B-C50C-407E-A947-70E740481C1C}">
                          <a14:useLocalDpi xmlns:a14="http://schemas.microsoft.com/office/drawing/2010/main" val="0"/>
                        </a:ext>
                      </a:extLst>
                    </a:blip>
                    <a:stretch>
                      <a:fillRect/>
                    </a:stretch>
                  </pic:blipFill>
                  <pic:spPr>
                    <a:xfrm>
                      <a:off x="0" y="0"/>
                      <a:ext cx="4199679" cy="2520000"/>
                    </a:xfrm>
                    <a:prstGeom prst="rect">
                      <a:avLst/>
                    </a:prstGeom>
                  </pic:spPr>
                </pic:pic>
              </a:graphicData>
            </a:graphic>
          </wp:inline>
        </w:drawing>
      </w:r>
    </w:p>
    <w:p w14:paraId="32FA5F90">
      <w:pPr>
        <w:pStyle w:val="20"/>
        <w:spacing w:before="156" w:beforeLines="50" w:after="156" w:afterLines="50" w:line="288" w:lineRule="auto"/>
        <w:ind w:firstLine="0" w:firstLineChars="0"/>
        <w:jc w:val="center"/>
        <w:rPr>
          <w:sz w:val="24"/>
        </w:rPr>
      </w:pPr>
      <w:r>
        <w:rPr>
          <w:sz w:val="24"/>
        </w:rPr>
        <w:t>Figure 21</w:t>
      </w:r>
    </w:p>
    <w:p w14:paraId="4A30E071">
      <w:pPr>
        <w:pStyle w:val="20"/>
        <w:spacing w:before="156" w:beforeLines="50" w:after="156" w:afterLines="50" w:line="288" w:lineRule="auto"/>
        <w:ind w:left="420" w:leftChars="200" w:firstLine="480"/>
        <w:rPr>
          <w:sz w:val="24"/>
        </w:rPr>
      </w:pPr>
      <w:r>
        <w:rPr>
          <w:sz w:val="24"/>
        </w:rPr>
        <w:t xml:space="preserve">When the time and date are corrected, click the </w:t>
      </w:r>
      <w:r>
        <w:rPr>
          <w:b/>
          <w:sz w:val="24"/>
        </w:rPr>
        <w:t>OK</w:t>
      </w:r>
      <w:r>
        <w:rPr>
          <w:sz w:val="24"/>
        </w:rPr>
        <w:t xml:space="preserve"> button, and the instrument will return to the main menu interface.</w:t>
      </w:r>
    </w:p>
    <w:p w14:paraId="501F33AE">
      <w:pPr>
        <w:pStyle w:val="20"/>
        <w:spacing w:before="156" w:beforeLines="50" w:after="156" w:afterLines="50" w:line="288" w:lineRule="auto"/>
        <w:ind w:left="420" w:leftChars="200" w:firstLine="0" w:firstLineChars="0"/>
        <w:rPr>
          <w:szCs w:val="21"/>
        </w:rPr>
      </w:pPr>
      <w:r>
        <w:rPr>
          <w:sz w:val="24"/>
        </w:rPr>
        <w:t xml:space="preserve"> (5) </w:t>
      </w:r>
      <w:r>
        <w:rPr>
          <w:b/>
          <w:sz w:val="24"/>
        </w:rPr>
        <w:t>System settings:</w:t>
      </w:r>
      <w:r>
        <w:rPr>
          <w:sz w:val="24"/>
        </w:rPr>
        <w:t xml:space="preserve"> Enter the main menu interface after starting up. Click the "</w:t>
      </w:r>
      <w:r>
        <w:rPr>
          <w:b/>
          <w:sz w:val="24"/>
        </w:rPr>
        <w:t>System Settings</w:t>
      </w:r>
      <w:r>
        <w:rPr>
          <w:sz w:val="24"/>
        </w:rPr>
        <w:t xml:space="preserve">" menu. System settings include three groups of options: </w:t>
      </w:r>
      <w:r>
        <w:rPr>
          <w:b/>
          <w:sz w:val="24"/>
        </w:rPr>
        <w:t>Instrument Settings</w:t>
      </w:r>
      <w:r>
        <w:rPr>
          <w:sz w:val="24"/>
        </w:rPr>
        <w:t xml:space="preserve">, </w:t>
      </w:r>
      <w:r>
        <w:rPr>
          <w:b/>
          <w:sz w:val="24"/>
        </w:rPr>
        <w:t>Communication Parameters</w:t>
      </w:r>
      <w:r>
        <w:rPr>
          <w:sz w:val="24"/>
        </w:rPr>
        <w:t xml:space="preserve"> and </w:t>
      </w:r>
      <w:r>
        <w:rPr>
          <w:b/>
          <w:sz w:val="24"/>
        </w:rPr>
        <w:t>Internal Debugging</w:t>
      </w:r>
      <w:r>
        <w:rPr>
          <w:sz w:val="24"/>
        </w:rPr>
        <w:t>. Internal debugging is used for internal calibration before the instrument leaves the factory. The instrument enters the sub-interface of instrument settings by default, as shown in the figure below:</w:t>
      </w:r>
    </w:p>
    <w:p w14:paraId="580E71E0">
      <w:pPr>
        <w:spacing w:before="156" w:beforeLines="50" w:after="156" w:afterLines="50" w:line="288" w:lineRule="auto"/>
        <w:ind w:firstLine="0" w:firstLineChars="0"/>
        <w:jc w:val="center"/>
        <w:rPr>
          <w:sz w:val="24"/>
        </w:rPr>
      </w:pPr>
      <w:r>
        <w:rPr>
          <w:sz w:val="24"/>
        </w:rPr>
        <w:drawing>
          <wp:inline distT="0" distB="0" distL="0" distR="0">
            <wp:extent cx="4199255" cy="2519680"/>
            <wp:effectExtent l="0" t="0" r="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pic:cNvPicPr>
                  </pic:nvPicPr>
                  <pic:blipFill>
                    <a:blip r:embed="rId41">
                      <a:extLst>
                        <a:ext uri="{28A0092B-C50C-407E-A947-70E740481C1C}">
                          <a14:useLocalDpi xmlns:a14="http://schemas.microsoft.com/office/drawing/2010/main" val="0"/>
                        </a:ext>
                      </a:extLst>
                    </a:blip>
                    <a:stretch>
                      <a:fillRect/>
                    </a:stretch>
                  </pic:blipFill>
                  <pic:spPr>
                    <a:xfrm>
                      <a:off x="0" y="0"/>
                      <a:ext cx="4199679" cy="2520000"/>
                    </a:xfrm>
                    <a:prstGeom prst="rect">
                      <a:avLst/>
                    </a:prstGeom>
                  </pic:spPr>
                </pic:pic>
              </a:graphicData>
            </a:graphic>
          </wp:inline>
        </w:drawing>
      </w:r>
    </w:p>
    <w:p w14:paraId="3D338C25">
      <w:pPr>
        <w:spacing w:before="156" w:beforeLines="50" w:after="156" w:afterLines="50" w:line="288" w:lineRule="auto"/>
        <w:ind w:firstLine="480"/>
        <w:jc w:val="center"/>
        <w:rPr>
          <w:sz w:val="24"/>
        </w:rPr>
      </w:pPr>
      <w:r>
        <w:rPr>
          <w:sz w:val="24"/>
        </w:rPr>
        <w:t>Figure 22</w:t>
      </w:r>
    </w:p>
    <w:p w14:paraId="7D944540">
      <w:pPr>
        <w:spacing w:before="156" w:beforeLines="50" w:after="156" w:afterLines="50" w:line="288" w:lineRule="auto"/>
        <w:ind w:left="420" w:leftChars="200" w:firstLine="0" w:firstLineChars="0"/>
        <w:rPr>
          <w:sz w:val="24"/>
        </w:rPr>
      </w:pPr>
      <w:r>
        <w:rPr>
          <w:b/>
          <w:sz w:val="24"/>
        </w:rPr>
        <w:t>Product Code:</w:t>
      </w:r>
      <w:r>
        <w:rPr>
          <w:sz w:val="24"/>
        </w:rPr>
        <w:t xml:space="preserve"> Click the display box to pop up the </w:t>
      </w:r>
      <w:r>
        <w:rPr>
          <w:b/>
          <w:sz w:val="24"/>
        </w:rPr>
        <w:t>numeric keyboard</w:t>
      </w:r>
      <w:r>
        <w:rPr>
          <w:sz w:val="24"/>
        </w:rPr>
        <w:t xml:space="preserve"> prompt. After the input is completed, click </w:t>
      </w:r>
      <w:r>
        <w:rPr>
          <w:b/>
          <w:sz w:val="24"/>
        </w:rPr>
        <w:t>OK</w:t>
      </w:r>
      <w:r>
        <w:rPr>
          <w:sz w:val="24"/>
        </w:rPr>
        <w:t xml:space="preserve"> to save the product code. If the product code does not need to be modified, click </w:t>
      </w:r>
      <w:r>
        <w:rPr>
          <w:b/>
          <w:sz w:val="24"/>
        </w:rPr>
        <w:t>ESC</w:t>
      </w:r>
      <w:r>
        <w:rPr>
          <w:sz w:val="24"/>
        </w:rPr>
        <w:t xml:space="preserve"> in the numeric keyboard to exit and return to the instrument settings interface.</w:t>
      </w:r>
    </w:p>
    <w:p w14:paraId="3C3191F9">
      <w:pPr>
        <w:pStyle w:val="2"/>
        <w:spacing w:before="156" w:beforeLines="50" w:after="156" w:afterLines="50" w:line="288" w:lineRule="auto"/>
        <w:ind w:firstLine="0" w:firstLineChars="0"/>
        <w:rPr>
          <w:sz w:val="28"/>
          <w:szCs w:val="28"/>
        </w:rPr>
      </w:pPr>
      <w:bookmarkStart w:id="10" w:name="_Toc145579746"/>
      <w:r>
        <w:rPr>
          <w:sz w:val="28"/>
        </w:rPr>
        <w:t>VII. Precautions</w:t>
      </w:r>
      <w:bookmarkEnd w:id="10"/>
    </w:p>
    <w:p w14:paraId="54B9E2AF">
      <w:pPr>
        <w:spacing w:before="156" w:beforeLines="50" w:after="156" w:afterLines="50" w:line="288" w:lineRule="auto"/>
        <w:ind w:left="210" w:leftChars="100" w:firstLine="0" w:firstLineChars="0"/>
        <w:rPr>
          <w:sz w:val="24"/>
        </w:rPr>
      </w:pPr>
      <w:r>
        <w:rPr>
          <w:sz w:val="24"/>
        </w:rPr>
        <w:t>1. Before measuring the transformer reverse tap line with no-load voltage regulation, be sure to wait until the discharge is over and the alarm stops before switching the tap point.</w:t>
      </w:r>
    </w:p>
    <w:p w14:paraId="7A3A3C9F">
      <w:pPr>
        <w:spacing w:before="156" w:beforeLines="50" w:after="156" w:afterLines="50" w:line="288" w:lineRule="auto"/>
        <w:ind w:left="210" w:leftChars="100" w:firstLine="0" w:firstLineChars="0"/>
        <w:rPr>
          <w:sz w:val="24"/>
        </w:rPr>
      </w:pPr>
      <w:r>
        <w:rPr>
          <w:sz w:val="24"/>
        </w:rPr>
        <w:t>2. Before removing the wire, be sure to wait until the discharge is over, the alarm stops and the power supply is turned off.</w:t>
      </w:r>
    </w:p>
    <w:p w14:paraId="273492EE">
      <w:pPr>
        <w:spacing w:before="156" w:beforeLines="50" w:after="156" w:afterLines="50" w:line="288" w:lineRule="auto"/>
        <w:ind w:left="210" w:leftChars="100" w:firstLine="0" w:firstLineChars="0"/>
        <w:rPr>
          <w:sz w:val="24"/>
        </w:rPr>
      </w:pPr>
      <w:r>
        <w:rPr>
          <w:sz w:val="24"/>
        </w:rPr>
        <w:t>3. When selecting the current, refer to the range in the technical indicator column. When it is used beyond the range, the actual test current cannot reach the standard test current value of this gear. In case of under-range, the current is too small, resulting in unstable data for large capacity transformers. When these two states occur, confirm the range and select the appropriate range for testing.</w:t>
      </w:r>
    </w:p>
    <w:p w14:paraId="26F56EFB">
      <w:pPr>
        <w:widowControl/>
        <w:spacing w:line="240" w:lineRule="auto"/>
        <w:ind w:firstLine="0" w:firstLineChars="0"/>
        <w:jc w:val="left"/>
        <w:rPr>
          <w:sz w:val="24"/>
        </w:rPr>
      </w:pPr>
      <w:r>
        <w:rPr>
          <w:sz w:val="24"/>
        </w:rPr>
        <w:br w:type="page"/>
      </w:r>
    </w:p>
    <w:p w14:paraId="30AF67B4">
      <w:pPr>
        <w:pStyle w:val="2"/>
        <w:spacing w:before="156" w:beforeLines="50" w:after="156" w:afterLines="50" w:line="288" w:lineRule="auto"/>
        <w:ind w:firstLine="0" w:firstLineChars="0"/>
        <w:rPr>
          <w:sz w:val="28"/>
          <w:szCs w:val="28"/>
        </w:rPr>
      </w:pPr>
      <w:bookmarkStart w:id="11" w:name="_Toc145579747"/>
      <w:bookmarkStart w:id="12" w:name="_Toc414273036"/>
      <w:r>
        <w:rPr>
          <w:sz w:val="28"/>
        </w:rPr>
        <w:t>VIII. Instrument packages</w:t>
      </w:r>
      <w:bookmarkEnd w:id="11"/>
    </w:p>
    <w:tbl>
      <w:tblPr>
        <w:tblStyle w:val="9"/>
        <w:tblW w:w="6317" w:type="dxa"/>
        <w:jc w:val="center"/>
        <w:shd w:val="clear" w:color="auto" w:fill="FFFFFF"/>
        <w:tblLayout w:type="fixed"/>
        <w:tblCellMar>
          <w:top w:w="0" w:type="dxa"/>
          <w:left w:w="108" w:type="dxa"/>
          <w:bottom w:w="0" w:type="dxa"/>
          <w:right w:w="108" w:type="dxa"/>
        </w:tblCellMar>
      </w:tblPr>
      <w:tblGrid>
        <w:gridCol w:w="3896"/>
        <w:gridCol w:w="2421"/>
      </w:tblGrid>
      <w:tr w14:paraId="108ECE53">
        <w:tblPrEx>
          <w:shd w:val="clear" w:color="auto" w:fill="FFFFFF"/>
          <w:tblCellMar>
            <w:top w:w="0" w:type="dxa"/>
            <w:left w:w="108" w:type="dxa"/>
            <w:bottom w:w="0" w:type="dxa"/>
            <w:right w:w="108" w:type="dxa"/>
          </w:tblCellMar>
        </w:tblPrEx>
        <w:trPr>
          <w:trHeight w:val="513" w:hRule="atLeast"/>
          <w:jc w:val="center"/>
        </w:trPr>
        <w:tc>
          <w:tcPr>
            <w:tcW w:w="3896" w:type="dxa"/>
            <w:shd w:val="clear" w:color="auto" w:fill="FFFFFF"/>
            <w:vAlign w:val="center"/>
          </w:tcPr>
          <w:p w14:paraId="542A3A08">
            <w:pPr>
              <w:spacing w:before="156" w:beforeLines="50" w:after="156" w:afterLines="50" w:line="288" w:lineRule="auto"/>
              <w:ind w:firstLine="0" w:firstLineChars="0"/>
              <w:jc w:val="center"/>
              <w:rPr>
                <w:b/>
                <w:sz w:val="24"/>
              </w:rPr>
            </w:pPr>
            <w:r>
              <w:rPr>
                <w:b/>
                <w:sz w:val="24"/>
              </w:rPr>
              <w:t>Name</w:t>
            </w:r>
          </w:p>
        </w:tc>
        <w:tc>
          <w:tcPr>
            <w:tcW w:w="2421" w:type="dxa"/>
            <w:shd w:val="clear" w:color="auto" w:fill="FFFFFF"/>
            <w:vAlign w:val="center"/>
          </w:tcPr>
          <w:p w14:paraId="73013658">
            <w:pPr>
              <w:spacing w:before="156" w:beforeLines="50" w:after="156" w:afterLines="50" w:line="288" w:lineRule="auto"/>
              <w:ind w:firstLine="482"/>
              <w:jc w:val="center"/>
              <w:rPr>
                <w:b/>
                <w:sz w:val="24"/>
              </w:rPr>
            </w:pPr>
            <w:r>
              <w:rPr>
                <w:b/>
                <w:sz w:val="24"/>
              </w:rPr>
              <w:t>Quantity</w:t>
            </w:r>
          </w:p>
        </w:tc>
      </w:tr>
      <w:tr w14:paraId="2D2CACC2">
        <w:tblPrEx>
          <w:shd w:val="clear" w:color="auto" w:fill="FFFFFF"/>
          <w:tblCellMar>
            <w:top w:w="0" w:type="dxa"/>
            <w:left w:w="108" w:type="dxa"/>
            <w:bottom w:w="0" w:type="dxa"/>
            <w:right w:w="108" w:type="dxa"/>
          </w:tblCellMar>
        </w:tblPrEx>
        <w:trPr>
          <w:trHeight w:val="187" w:hRule="atLeast"/>
          <w:jc w:val="center"/>
        </w:trPr>
        <w:tc>
          <w:tcPr>
            <w:tcW w:w="3896" w:type="dxa"/>
            <w:shd w:val="clear" w:color="auto" w:fill="FFFFFF"/>
            <w:vAlign w:val="center"/>
          </w:tcPr>
          <w:p w14:paraId="518DFF79">
            <w:pPr>
              <w:spacing w:before="156" w:beforeLines="50" w:after="156" w:afterLines="50" w:line="288" w:lineRule="auto"/>
              <w:ind w:firstLine="0" w:firstLineChars="0"/>
              <w:jc w:val="center"/>
              <w:rPr>
                <w:sz w:val="24"/>
              </w:rPr>
            </w:pPr>
            <w:r>
              <w:rPr>
                <w:sz w:val="24"/>
              </w:rPr>
              <w:t xml:space="preserve">DC resistance tester </w:t>
            </w:r>
            <w:r>
              <w:rPr>
                <w:rFonts w:hint="eastAsia"/>
                <w:sz w:val="24"/>
              </w:rPr>
              <w:t>host</w:t>
            </w:r>
          </w:p>
        </w:tc>
        <w:tc>
          <w:tcPr>
            <w:tcW w:w="2421" w:type="dxa"/>
            <w:shd w:val="clear" w:color="auto" w:fill="FFFFFF"/>
            <w:vAlign w:val="center"/>
          </w:tcPr>
          <w:p w14:paraId="4F8E9D12">
            <w:pPr>
              <w:spacing w:before="156" w:beforeLines="50" w:after="156" w:afterLines="50" w:line="288" w:lineRule="auto"/>
              <w:ind w:firstLine="480"/>
              <w:jc w:val="center"/>
              <w:rPr>
                <w:sz w:val="24"/>
              </w:rPr>
            </w:pPr>
            <w:r>
              <w:rPr>
                <w:sz w:val="24"/>
              </w:rPr>
              <w:t>1 set</w:t>
            </w:r>
          </w:p>
        </w:tc>
      </w:tr>
      <w:tr w14:paraId="3CB4ADC2">
        <w:tblPrEx>
          <w:shd w:val="clear" w:color="auto" w:fill="FFFFFF"/>
          <w:tblCellMar>
            <w:top w:w="0" w:type="dxa"/>
            <w:left w:w="108" w:type="dxa"/>
            <w:bottom w:w="0" w:type="dxa"/>
            <w:right w:w="108" w:type="dxa"/>
          </w:tblCellMar>
        </w:tblPrEx>
        <w:trPr>
          <w:trHeight w:val="187" w:hRule="atLeast"/>
          <w:jc w:val="center"/>
        </w:trPr>
        <w:tc>
          <w:tcPr>
            <w:tcW w:w="3896" w:type="dxa"/>
            <w:shd w:val="clear" w:color="auto" w:fill="FFFFFF"/>
          </w:tcPr>
          <w:p w14:paraId="25EC5390">
            <w:pPr>
              <w:spacing w:before="156" w:beforeLines="50" w:after="156" w:afterLines="50" w:line="288" w:lineRule="auto"/>
              <w:ind w:firstLine="0" w:firstLineChars="0"/>
              <w:jc w:val="center"/>
              <w:rPr>
                <w:sz w:val="24"/>
              </w:rPr>
            </w:pPr>
            <w:r>
              <w:rPr>
                <w:sz w:val="24"/>
              </w:rPr>
              <w:t>Dedicated test wire</w:t>
            </w:r>
          </w:p>
        </w:tc>
        <w:tc>
          <w:tcPr>
            <w:tcW w:w="2421" w:type="dxa"/>
            <w:shd w:val="clear" w:color="auto" w:fill="FFFFFF"/>
            <w:vAlign w:val="center"/>
          </w:tcPr>
          <w:p w14:paraId="764E80EB">
            <w:pPr>
              <w:spacing w:before="156" w:beforeLines="50" w:after="156" w:afterLines="50" w:line="288" w:lineRule="auto"/>
              <w:ind w:firstLine="480"/>
              <w:jc w:val="center"/>
              <w:rPr>
                <w:sz w:val="24"/>
              </w:rPr>
            </w:pPr>
            <w:r>
              <w:rPr>
                <w:sz w:val="24"/>
              </w:rPr>
              <w:t>1 set</w:t>
            </w:r>
          </w:p>
        </w:tc>
      </w:tr>
      <w:tr w14:paraId="373B9F0F">
        <w:tblPrEx>
          <w:shd w:val="clear" w:color="auto" w:fill="FFFFFF"/>
          <w:tblCellMar>
            <w:top w:w="0" w:type="dxa"/>
            <w:left w:w="108" w:type="dxa"/>
            <w:bottom w:w="0" w:type="dxa"/>
            <w:right w:w="108" w:type="dxa"/>
          </w:tblCellMar>
        </w:tblPrEx>
        <w:trPr>
          <w:trHeight w:val="187" w:hRule="atLeast"/>
          <w:jc w:val="center"/>
        </w:trPr>
        <w:tc>
          <w:tcPr>
            <w:tcW w:w="3896" w:type="dxa"/>
            <w:shd w:val="clear" w:color="auto" w:fill="FFFFFF"/>
            <w:vAlign w:val="center"/>
          </w:tcPr>
          <w:p w14:paraId="7A7AC503">
            <w:pPr>
              <w:spacing w:before="156" w:beforeLines="50" w:after="156" w:afterLines="50" w:line="288" w:lineRule="auto"/>
              <w:ind w:firstLine="0" w:firstLineChars="0"/>
              <w:jc w:val="center"/>
              <w:rPr>
                <w:sz w:val="24"/>
              </w:rPr>
            </w:pPr>
            <w:r>
              <w:rPr>
                <w:sz w:val="24"/>
              </w:rPr>
              <w:t>Standard resistance</w:t>
            </w:r>
          </w:p>
        </w:tc>
        <w:tc>
          <w:tcPr>
            <w:tcW w:w="2421" w:type="dxa"/>
            <w:shd w:val="clear" w:color="auto" w:fill="FFFFFF"/>
            <w:vAlign w:val="center"/>
          </w:tcPr>
          <w:p w14:paraId="52E5069D">
            <w:pPr>
              <w:spacing w:before="156" w:beforeLines="50" w:after="156" w:afterLines="50" w:line="288" w:lineRule="auto"/>
              <w:ind w:firstLine="480"/>
              <w:jc w:val="center"/>
              <w:rPr>
                <w:sz w:val="24"/>
              </w:rPr>
            </w:pPr>
            <w:r>
              <w:rPr>
                <w:sz w:val="24"/>
              </w:rPr>
              <w:t>1 set</w:t>
            </w:r>
          </w:p>
        </w:tc>
      </w:tr>
      <w:tr w14:paraId="7CF9B1C5">
        <w:tblPrEx>
          <w:shd w:val="clear" w:color="auto" w:fill="FFFFFF"/>
          <w:tblCellMar>
            <w:top w:w="0" w:type="dxa"/>
            <w:left w:w="108" w:type="dxa"/>
            <w:bottom w:w="0" w:type="dxa"/>
            <w:right w:w="108" w:type="dxa"/>
          </w:tblCellMar>
        </w:tblPrEx>
        <w:trPr>
          <w:trHeight w:val="187" w:hRule="atLeast"/>
          <w:jc w:val="center"/>
        </w:trPr>
        <w:tc>
          <w:tcPr>
            <w:tcW w:w="3896" w:type="dxa"/>
            <w:shd w:val="clear" w:color="auto" w:fill="FFFFFF"/>
            <w:vAlign w:val="center"/>
          </w:tcPr>
          <w:p w14:paraId="0551DD1E">
            <w:pPr>
              <w:spacing w:before="156" w:beforeLines="50" w:after="156" w:afterLines="50" w:line="288" w:lineRule="auto"/>
              <w:ind w:firstLine="0" w:firstLineChars="0"/>
              <w:jc w:val="center"/>
              <w:rPr>
                <w:sz w:val="24"/>
              </w:rPr>
            </w:pPr>
            <w:r>
              <w:rPr>
                <w:sz w:val="24"/>
              </w:rPr>
              <w:t>Printing paper</w:t>
            </w:r>
          </w:p>
        </w:tc>
        <w:tc>
          <w:tcPr>
            <w:tcW w:w="2421" w:type="dxa"/>
            <w:shd w:val="clear" w:color="auto" w:fill="FFFFFF"/>
            <w:vAlign w:val="center"/>
          </w:tcPr>
          <w:p w14:paraId="309C7322">
            <w:pPr>
              <w:spacing w:before="156" w:beforeLines="50" w:after="156" w:afterLines="50" w:line="288" w:lineRule="auto"/>
              <w:ind w:firstLine="480"/>
              <w:jc w:val="center"/>
              <w:rPr>
                <w:sz w:val="24"/>
              </w:rPr>
            </w:pPr>
            <w:r>
              <w:rPr>
                <w:sz w:val="24"/>
              </w:rPr>
              <w:t>2 rolls</w:t>
            </w:r>
          </w:p>
        </w:tc>
      </w:tr>
      <w:tr w14:paraId="089EFD5C">
        <w:tblPrEx>
          <w:shd w:val="clear" w:color="auto" w:fill="FFFFFF"/>
          <w:tblCellMar>
            <w:top w:w="0" w:type="dxa"/>
            <w:left w:w="108" w:type="dxa"/>
            <w:bottom w:w="0" w:type="dxa"/>
            <w:right w:w="108" w:type="dxa"/>
          </w:tblCellMar>
        </w:tblPrEx>
        <w:trPr>
          <w:trHeight w:val="187" w:hRule="atLeast"/>
          <w:jc w:val="center"/>
        </w:trPr>
        <w:tc>
          <w:tcPr>
            <w:tcW w:w="3896" w:type="dxa"/>
            <w:shd w:val="clear" w:color="auto" w:fill="FFFFFF"/>
            <w:vAlign w:val="center"/>
          </w:tcPr>
          <w:p w14:paraId="1225CB47">
            <w:pPr>
              <w:spacing w:before="156" w:beforeLines="50" w:after="156" w:afterLines="50" w:line="288" w:lineRule="auto"/>
              <w:ind w:firstLine="0" w:firstLineChars="0"/>
              <w:jc w:val="center"/>
              <w:rPr>
                <w:sz w:val="24"/>
              </w:rPr>
            </w:pPr>
            <w:r>
              <w:rPr>
                <w:sz w:val="24"/>
              </w:rPr>
              <w:t>Power cord</w:t>
            </w:r>
          </w:p>
        </w:tc>
        <w:tc>
          <w:tcPr>
            <w:tcW w:w="2421" w:type="dxa"/>
            <w:shd w:val="clear" w:color="auto" w:fill="FFFFFF"/>
            <w:vAlign w:val="center"/>
          </w:tcPr>
          <w:p w14:paraId="4EF42E3F">
            <w:pPr>
              <w:spacing w:before="156" w:beforeLines="50" w:after="156" w:afterLines="50" w:line="288" w:lineRule="auto"/>
              <w:ind w:firstLine="480"/>
              <w:jc w:val="center"/>
              <w:rPr>
                <w:sz w:val="24"/>
              </w:rPr>
            </w:pPr>
            <w:r>
              <w:rPr>
                <w:sz w:val="24"/>
              </w:rPr>
              <w:t>1 piece</w:t>
            </w:r>
          </w:p>
        </w:tc>
      </w:tr>
      <w:tr w14:paraId="76BD761B">
        <w:tblPrEx>
          <w:shd w:val="clear" w:color="auto" w:fill="FFFFFF"/>
          <w:tblCellMar>
            <w:top w:w="0" w:type="dxa"/>
            <w:left w:w="108" w:type="dxa"/>
            <w:bottom w:w="0" w:type="dxa"/>
            <w:right w:w="108" w:type="dxa"/>
          </w:tblCellMar>
        </w:tblPrEx>
        <w:trPr>
          <w:trHeight w:val="187" w:hRule="atLeast"/>
          <w:jc w:val="center"/>
        </w:trPr>
        <w:tc>
          <w:tcPr>
            <w:tcW w:w="3896" w:type="dxa"/>
            <w:shd w:val="clear" w:color="auto" w:fill="FFFFFF"/>
            <w:vAlign w:val="center"/>
          </w:tcPr>
          <w:p w14:paraId="566A5710">
            <w:pPr>
              <w:spacing w:before="156" w:beforeLines="50" w:after="156" w:afterLines="50" w:line="288" w:lineRule="auto"/>
              <w:ind w:firstLine="0" w:firstLineChars="0"/>
              <w:jc w:val="center"/>
              <w:rPr>
                <w:sz w:val="24"/>
              </w:rPr>
            </w:pPr>
            <w:r>
              <w:rPr>
                <w:sz w:val="24"/>
              </w:rPr>
              <w:t>Grounding wire</w:t>
            </w:r>
          </w:p>
        </w:tc>
        <w:tc>
          <w:tcPr>
            <w:tcW w:w="2421" w:type="dxa"/>
            <w:shd w:val="clear" w:color="auto" w:fill="FFFFFF"/>
            <w:vAlign w:val="center"/>
          </w:tcPr>
          <w:p w14:paraId="489AD3D5">
            <w:pPr>
              <w:spacing w:before="156" w:beforeLines="50" w:after="156" w:afterLines="50" w:line="288" w:lineRule="auto"/>
              <w:ind w:firstLine="480"/>
              <w:jc w:val="center"/>
              <w:rPr>
                <w:sz w:val="24"/>
              </w:rPr>
            </w:pPr>
            <w:r>
              <w:rPr>
                <w:sz w:val="24"/>
              </w:rPr>
              <w:t>1 piece</w:t>
            </w:r>
          </w:p>
        </w:tc>
      </w:tr>
      <w:tr w14:paraId="29F33334">
        <w:tblPrEx>
          <w:shd w:val="clear" w:color="auto" w:fill="FFFFFF"/>
          <w:tblCellMar>
            <w:top w:w="0" w:type="dxa"/>
            <w:left w:w="108" w:type="dxa"/>
            <w:bottom w:w="0" w:type="dxa"/>
            <w:right w:w="108" w:type="dxa"/>
          </w:tblCellMar>
        </w:tblPrEx>
        <w:trPr>
          <w:trHeight w:val="187" w:hRule="atLeast"/>
          <w:jc w:val="center"/>
        </w:trPr>
        <w:tc>
          <w:tcPr>
            <w:tcW w:w="3896" w:type="dxa"/>
            <w:shd w:val="clear" w:color="auto" w:fill="FFFFFF"/>
            <w:vAlign w:val="center"/>
          </w:tcPr>
          <w:p w14:paraId="5D68E0F1">
            <w:pPr>
              <w:spacing w:before="156" w:beforeLines="50" w:after="156" w:afterLines="50" w:line="288" w:lineRule="auto"/>
              <w:ind w:firstLine="0" w:firstLineChars="0"/>
              <w:jc w:val="center"/>
              <w:rPr>
                <w:sz w:val="24"/>
              </w:rPr>
            </w:pPr>
            <w:r>
              <w:rPr>
                <w:sz w:val="24"/>
              </w:rPr>
              <w:t>Fuse tube</w:t>
            </w:r>
          </w:p>
        </w:tc>
        <w:tc>
          <w:tcPr>
            <w:tcW w:w="2421" w:type="dxa"/>
            <w:shd w:val="clear" w:color="auto" w:fill="FFFFFF"/>
            <w:vAlign w:val="center"/>
          </w:tcPr>
          <w:p w14:paraId="1B8A7690">
            <w:pPr>
              <w:spacing w:before="156" w:beforeLines="50" w:after="156" w:afterLines="50" w:line="288" w:lineRule="auto"/>
              <w:ind w:firstLine="480"/>
              <w:jc w:val="center"/>
              <w:rPr>
                <w:sz w:val="24"/>
              </w:rPr>
            </w:pPr>
            <w:r>
              <w:rPr>
                <w:sz w:val="24"/>
              </w:rPr>
              <w:t>2 pcs.</w:t>
            </w:r>
          </w:p>
        </w:tc>
      </w:tr>
      <w:tr w14:paraId="094CDCD8">
        <w:tblPrEx>
          <w:shd w:val="clear" w:color="auto" w:fill="FFFFFF"/>
          <w:tblCellMar>
            <w:top w:w="0" w:type="dxa"/>
            <w:left w:w="108" w:type="dxa"/>
            <w:bottom w:w="0" w:type="dxa"/>
            <w:right w:w="108" w:type="dxa"/>
          </w:tblCellMar>
        </w:tblPrEx>
        <w:trPr>
          <w:trHeight w:val="187" w:hRule="atLeast"/>
          <w:jc w:val="center"/>
        </w:trPr>
        <w:tc>
          <w:tcPr>
            <w:tcW w:w="3896" w:type="dxa"/>
            <w:shd w:val="clear" w:color="auto" w:fill="FFFFFF"/>
            <w:vAlign w:val="center"/>
          </w:tcPr>
          <w:p w14:paraId="720010E7">
            <w:pPr>
              <w:spacing w:before="156" w:beforeLines="50" w:after="156" w:afterLines="50" w:line="288" w:lineRule="auto"/>
              <w:ind w:firstLine="0" w:firstLineChars="0"/>
              <w:jc w:val="center"/>
              <w:rPr>
                <w:sz w:val="24"/>
              </w:rPr>
            </w:pPr>
            <w:r>
              <w:rPr>
                <w:rFonts w:hint="eastAsia"/>
                <w:szCs w:val="21"/>
              </w:rPr>
              <w:t>U</w:t>
            </w:r>
            <w:r>
              <w:rPr>
                <w:szCs w:val="21"/>
              </w:rPr>
              <w:t>ser manual</w:t>
            </w:r>
          </w:p>
        </w:tc>
        <w:tc>
          <w:tcPr>
            <w:tcW w:w="2421" w:type="dxa"/>
            <w:shd w:val="clear" w:color="auto" w:fill="FFFFFF"/>
            <w:vAlign w:val="center"/>
          </w:tcPr>
          <w:p w14:paraId="079564E8">
            <w:pPr>
              <w:spacing w:before="156" w:beforeLines="50" w:after="156" w:afterLines="50" w:line="288" w:lineRule="auto"/>
              <w:ind w:firstLine="480"/>
              <w:jc w:val="center"/>
              <w:rPr>
                <w:sz w:val="24"/>
              </w:rPr>
            </w:pPr>
            <w:r>
              <w:rPr>
                <w:sz w:val="24"/>
              </w:rPr>
              <w:t>1 copy</w:t>
            </w:r>
          </w:p>
        </w:tc>
      </w:tr>
      <w:tr w14:paraId="7CBA349E">
        <w:tblPrEx>
          <w:shd w:val="clear" w:color="auto" w:fill="FFFFFF"/>
          <w:tblCellMar>
            <w:top w:w="0" w:type="dxa"/>
            <w:left w:w="108" w:type="dxa"/>
            <w:bottom w:w="0" w:type="dxa"/>
            <w:right w:w="108" w:type="dxa"/>
          </w:tblCellMar>
        </w:tblPrEx>
        <w:trPr>
          <w:trHeight w:val="187" w:hRule="atLeast"/>
          <w:jc w:val="center"/>
        </w:trPr>
        <w:tc>
          <w:tcPr>
            <w:tcW w:w="3896" w:type="dxa"/>
            <w:shd w:val="clear" w:color="auto" w:fill="FFFFFF"/>
            <w:vAlign w:val="center"/>
          </w:tcPr>
          <w:p w14:paraId="64C105A9">
            <w:pPr>
              <w:spacing w:before="156" w:beforeLines="50" w:after="156" w:afterLines="50" w:line="288" w:lineRule="auto"/>
              <w:ind w:firstLine="0" w:firstLineChars="0"/>
              <w:jc w:val="center"/>
              <w:rPr>
                <w:sz w:val="24"/>
              </w:rPr>
            </w:pPr>
            <w:r>
              <w:rPr>
                <w:rFonts w:hint="eastAsia"/>
                <w:sz w:val="24"/>
              </w:rPr>
              <w:t xml:space="preserve">Test Report </w:t>
            </w:r>
          </w:p>
        </w:tc>
        <w:tc>
          <w:tcPr>
            <w:tcW w:w="2421" w:type="dxa"/>
            <w:shd w:val="clear" w:color="auto" w:fill="FFFFFF"/>
            <w:vAlign w:val="center"/>
          </w:tcPr>
          <w:p w14:paraId="5C031144">
            <w:pPr>
              <w:spacing w:before="156" w:beforeLines="50" w:after="156" w:afterLines="50" w:line="288" w:lineRule="auto"/>
              <w:ind w:firstLine="480"/>
              <w:jc w:val="center"/>
              <w:rPr>
                <w:sz w:val="24"/>
              </w:rPr>
            </w:pPr>
            <w:r>
              <w:rPr>
                <w:sz w:val="24"/>
              </w:rPr>
              <w:t>1 copy</w:t>
            </w:r>
          </w:p>
        </w:tc>
      </w:tr>
      <w:tr w14:paraId="0C289148">
        <w:tblPrEx>
          <w:shd w:val="clear" w:color="auto" w:fill="FFFFFF"/>
          <w:tblCellMar>
            <w:top w:w="0" w:type="dxa"/>
            <w:left w:w="108" w:type="dxa"/>
            <w:bottom w:w="0" w:type="dxa"/>
            <w:right w:w="108" w:type="dxa"/>
          </w:tblCellMar>
        </w:tblPrEx>
        <w:trPr>
          <w:trHeight w:val="181" w:hRule="atLeast"/>
          <w:jc w:val="center"/>
        </w:trPr>
        <w:tc>
          <w:tcPr>
            <w:tcW w:w="3896" w:type="dxa"/>
            <w:shd w:val="clear" w:color="auto" w:fill="FFFFFF"/>
            <w:vAlign w:val="center"/>
          </w:tcPr>
          <w:p w14:paraId="0E818637">
            <w:pPr>
              <w:spacing w:before="156" w:beforeLines="50" w:after="156" w:afterLines="50" w:line="288" w:lineRule="auto"/>
              <w:ind w:firstLine="0" w:firstLineChars="0"/>
              <w:jc w:val="center"/>
              <w:rPr>
                <w:sz w:val="24"/>
              </w:rPr>
            </w:pPr>
            <w:r>
              <w:rPr>
                <w:sz w:val="24"/>
              </w:rPr>
              <w:t>Packing list</w:t>
            </w:r>
          </w:p>
        </w:tc>
        <w:tc>
          <w:tcPr>
            <w:tcW w:w="2421" w:type="dxa"/>
            <w:shd w:val="clear" w:color="auto" w:fill="FFFFFF"/>
            <w:vAlign w:val="center"/>
          </w:tcPr>
          <w:p w14:paraId="1A06A65A">
            <w:pPr>
              <w:spacing w:before="156" w:beforeLines="50" w:after="156" w:afterLines="50" w:line="288" w:lineRule="auto"/>
              <w:ind w:firstLine="480"/>
              <w:jc w:val="center"/>
              <w:rPr>
                <w:sz w:val="24"/>
              </w:rPr>
            </w:pPr>
            <w:r>
              <w:rPr>
                <w:sz w:val="24"/>
              </w:rPr>
              <w:t>1 copy</w:t>
            </w:r>
          </w:p>
        </w:tc>
      </w:tr>
      <w:bookmarkEnd w:id="12"/>
    </w:tbl>
    <w:p w14:paraId="0B5A2EAF">
      <w:pPr>
        <w:pStyle w:val="2"/>
        <w:spacing w:before="156" w:beforeLines="50" w:after="156" w:afterLines="50" w:line="288" w:lineRule="auto"/>
        <w:ind w:firstLine="0" w:firstLineChars="0"/>
        <w:rPr>
          <w:sz w:val="28"/>
          <w:szCs w:val="28"/>
        </w:rPr>
      </w:pPr>
      <w:bookmarkStart w:id="13" w:name="_Toc145579748"/>
      <w:r>
        <w:rPr>
          <w:sz w:val="28"/>
        </w:rPr>
        <w:t>IX. After-sales service</w:t>
      </w:r>
      <w:bookmarkEnd w:id="13"/>
    </w:p>
    <w:p w14:paraId="1DBD938B">
      <w:pPr>
        <w:spacing w:line="500" w:lineRule="exact"/>
        <w:ind w:firstLine="240" w:firstLineChars="100"/>
        <w:rPr>
          <w:kern w:val="0"/>
          <w:sz w:val="24"/>
        </w:rPr>
      </w:pPr>
      <w:r>
        <w:rPr>
          <w:kern w:val="0"/>
          <w:sz w:val="24"/>
        </w:rPr>
        <w:t xml:space="preserve">The tester can be replaced </w:t>
      </w:r>
      <w:bookmarkStart w:id="14" w:name="OLE_LINK8"/>
      <w:r>
        <w:rPr>
          <w:kern w:val="0"/>
          <w:sz w:val="24"/>
        </w:rPr>
        <w:t>free of charge</w:t>
      </w:r>
      <w:bookmarkEnd w:id="14"/>
      <w:r>
        <w:rPr>
          <w:kern w:val="0"/>
          <w:sz w:val="24"/>
        </w:rPr>
        <w:t xml:space="preserve"> for any quality problem within 1 month from the date of purchase and can be repaired free of charge if there is a malfunction or problem within 1 year from the date of purchase</w:t>
      </w:r>
      <w:r>
        <w:rPr>
          <w:sz w:val="24"/>
        </w:rPr>
        <w:t>(the battery has a warranty period of 6 months)</w:t>
      </w:r>
      <w:r>
        <w:rPr>
          <w:kern w:val="0"/>
          <w:sz w:val="24"/>
        </w:rPr>
        <w:t>. The lifetime warranty and technical services are provided for the whole tester. For any abnormality or malfunction, please contact our company in time so that we can arrange the most convenient solution.</w:t>
      </w:r>
    </w:p>
    <w:p w14:paraId="0CD1F62B">
      <w:pPr>
        <w:spacing w:before="156" w:beforeLines="50" w:after="156" w:afterLines="50" w:line="288" w:lineRule="auto"/>
        <w:ind w:left="210" w:leftChars="100" w:firstLine="0" w:firstLineChars="0"/>
        <w:rPr>
          <w:kern w:val="0"/>
          <w:sz w:val="24"/>
        </w:rPr>
      </w:pPr>
    </w:p>
    <w:sectPr>
      <w:headerReference r:id="rId7" w:type="first"/>
      <w:headerReference r:id="rId5" w:type="default"/>
      <w:footerReference r:id="rId8" w:type="default"/>
      <w:headerReference r:id="rId6" w:type="even"/>
      <w:footerReference r:id="rId9" w:type="even"/>
      <w:pgSz w:w="11907" w:h="16840"/>
      <w:pgMar w:top="1440" w:right="1588" w:bottom="1440" w:left="1588" w:header="851" w:footer="992" w:gutter="0"/>
      <w:pgNumType w:start="0"/>
      <w:cols w:space="720"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B9319A">
    <w:pPr>
      <w:pStyle w:val="6"/>
      <w:pBdr>
        <w:top w:val="thinThickSmallGap" w:color="622423" w:sz="24" w:space="1"/>
      </w:pBdr>
      <w:tabs>
        <w:tab w:val="right" w:pos="5670"/>
        <w:tab w:val="clear" w:pos="4153"/>
        <w:tab w:val="clear" w:pos="8306"/>
      </w:tabs>
      <w:ind w:firstLine="0" w:firstLineChars="0"/>
      <w:jc w:val="center"/>
      <w:rPr>
        <w:rFonts w:ascii="Cambria" w:hAnsi="Cambria"/>
        <w:sz w:val="21"/>
        <w:szCs w:val="21"/>
      </w:rPr>
    </w:pPr>
    <w:r>
      <w:rPr>
        <w:sz w:val="21"/>
        <w:szCs w:val="21"/>
      </w:rPr>
      <w:fldChar w:fldCharType="begin"/>
    </w:r>
    <w:r>
      <w:rPr>
        <w:sz w:val="21"/>
        <w:szCs w:val="21"/>
      </w:rPr>
      <w:instrText xml:space="preserve"> PAGE   \* MERGEFORMAT </w:instrText>
    </w:r>
    <w:r>
      <w:rPr>
        <w:sz w:val="21"/>
        <w:szCs w:val="21"/>
      </w:rPr>
      <w:fldChar w:fldCharType="separate"/>
    </w:r>
    <w:r>
      <w:rPr>
        <w:rFonts w:ascii="Cambria" w:hAnsi="Cambria"/>
        <w:sz w:val="21"/>
        <w:szCs w:val="21"/>
        <w:lang w:val="zh-CN"/>
      </w:rPr>
      <w:t>19</w:t>
    </w:r>
    <w:r>
      <w:rPr>
        <w:sz w:val="21"/>
        <w:szCs w:val="21"/>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7810BC">
    <w:pPr>
      <w:pStyle w:val="6"/>
      <w:framePr w:wrap="around" w:vAnchor="text" w:hAnchor="margin" w:xAlign="center" w:y="1"/>
      <w:rPr>
        <w:rStyle w:val="12"/>
      </w:rPr>
    </w:pPr>
    <w:r>
      <w:rPr>
        <w:rStyle w:val="12"/>
      </w:rPr>
      <w:fldChar w:fldCharType="begin"/>
    </w:r>
    <w:r>
      <w:rPr>
        <w:rStyle w:val="12"/>
      </w:rPr>
      <w:instrText xml:space="preserve">PAGE  </w:instrText>
    </w:r>
    <w:r>
      <w:rPr>
        <w:rStyle w:val="12"/>
      </w:rPr>
      <w:fldChar w:fldCharType="end"/>
    </w:r>
  </w:p>
  <w:p w14:paraId="6726CDBE">
    <w:pPr>
      <w:pStyle w:val="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20"/>
      </w:pPr>
      <w:r>
        <w:separator/>
      </w:r>
    </w:p>
  </w:footnote>
  <w:footnote w:type="continuationSeparator" w:id="1">
    <w:p>
      <w:pPr>
        <w:spacing w:line="24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855862">
    <w:pPr>
      <w:pStyle w:val="7"/>
      <w:ind w:firstLine="0" w:firstLineChars="0"/>
      <w:jc w:val="left"/>
    </w:pPr>
    <w:r>
      <w:rPr>
        <w:color w:val="595959" w:themeColor="text1" w:themeTint="A6"/>
        <w14:textFill>
          <w14:solidFill>
            <w14:schemeClr w14:val="tx1">
              <w14:lumMod w14:val="65000"/>
              <w14:lumOff w14:val="35000"/>
            </w14:schemeClr>
          </w14:solidFill>
        </w14:textFill>
      </w:rPr>
      <w:drawing>
        <wp:inline distT="0" distB="0" distL="114300" distR="114300">
          <wp:extent cx="340995" cy="353060"/>
          <wp:effectExtent l="0" t="0" r="1905" b="8890"/>
          <wp:docPr id="10" name="图片 6" descr="logo国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6" descr="logo国电.png"/>
                  <pic:cNvPicPr>
                    <a:picLocks noChangeAspect="1"/>
                  </pic:cNvPicPr>
                </pic:nvPicPr>
                <pic:blipFill>
                  <a:blip r:embed="rId1"/>
                  <a:stretch>
                    <a:fillRect/>
                  </a:stretch>
                </pic:blipFill>
                <pic:spPr>
                  <a:xfrm>
                    <a:off x="0" y="0"/>
                    <a:ext cx="340995" cy="353060"/>
                  </a:xfrm>
                  <a:prstGeom prst="rect">
                    <a:avLst/>
                  </a:prstGeom>
                  <a:noFill/>
                  <a:ln>
                    <a:noFill/>
                  </a:ln>
                </pic:spPr>
              </pic:pic>
            </a:graphicData>
          </a:graphic>
        </wp:inline>
      </w:drawing>
    </w:r>
    <w:r>
      <w:rPr>
        <w:rFonts w:ascii="Calibri" w:hAnsi="Calibri" w:cs="Calibri"/>
        <w:color w:val="000000"/>
      </w:rPr>
      <w:t xml:space="preserve">Wuhan Goldhome Hipot Electrical Co.,ltd </w:t>
    </w:r>
    <w:r>
      <w:rPr>
        <w:rFonts w:ascii="Calibri" w:hAnsi="Calibri" w:cs="Calibri"/>
        <w:color w:val="000000"/>
        <w:sz w:val="21"/>
        <w:szCs w:val="21"/>
      </w:rPr>
      <w:t xml:space="preserve"> </w:t>
    </w:r>
    <w:r>
      <w:rPr>
        <w:rFonts w:hint="eastAsia" w:ascii="Calibri" w:hAnsi="Calibri" w:cs="Calibri"/>
        <w:color w:val="000000"/>
        <w:sz w:val="21"/>
        <w:szCs w:val="21"/>
      </w:rPr>
      <w:t xml:space="preserve">                         </w:t>
    </w:r>
    <w:r>
      <w:fldChar w:fldCharType="begin"/>
    </w:r>
    <w:r>
      <w:instrText xml:space="preserve"> HYPERLINK "http://www.cablehipot.com" </w:instrText>
    </w:r>
    <w:r>
      <w:fldChar w:fldCharType="separate"/>
    </w:r>
    <w:r>
      <w:rPr>
        <w:rStyle w:val="13"/>
        <w:rFonts w:ascii="Calibri" w:hAnsi="Calibri" w:cs="Calibri"/>
      </w:rPr>
      <w:t>www.</w:t>
    </w:r>
    <w:r>
      <w:rPr>
        <w:rStyle w:val="13"/>
        <w:rFonts w:hint="eastAsia" w:ascii="Calibri" w:hAnsi="Calibri" w:cs="Calibri"/>
      </w:rPr>
      <w:t>hv</w:t>
    </w:r>
    <w:r>
      <w:rPr>
        <w:rStyle w:val="13"/>
        <w:rFonts w:ascii="Calibri" w:hAnsi="Calibri" w:cs="Calibri"/>
      </w:rPr>
      <w:t>cablehipot.com</w:t>
    </w:r>
    <w:r>
      <w:rPr>
        <w:rStyle w:val="13"/>
        <w:rFonts w:ascii="Calibri" w:hAnsi="Calibri" w:cs="Calibri"/>
      </w:rPr>
      <w:fldChar w:fldCharType="end"/>
    </w:r>
    <w:r>
      <w:rPr>
        <w:rFonts w:hint="eastAsia" w:ascii="Calibri" w:hAnsi="Calibri" w:cs="Calibri"/>
        <w:color w:val="000000"/>
        <w:sz w:val="21"/>
        <w:szCs w:val="21"/>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7C7424">
    <w:pPr>
      <w:pStyle w:val="7"/>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B2FCF2">
    <w:pPr>
      <w:pStyle w:val="7"/>
      <w:ind w:firstLine="0" w:firstLineChars="0"/>
      <w:jc w:val="left"/>
    </w:pPr>
    <w:r>
      <w:rPr>
        <w:color w:val="595959" w:themeColor="text1" w:themeTint="A6"/>
        <w14:textFill>
          <w14:solidFill>
            <w14:schemeClr w14:val="tx1">
              <w14:lumMod w14:val="65000"/>
              <w14:lumOff w14:val="35000"/>
            </w14:schemeClr>
          </w14:solidFill>
        </w14:textFill>
      </w:rPr>
      <w:drawing>
        <wp:inline distT="0" distB="0" distL="114300" distR="114300">
          <wp:extent cx="340995" cy="353060"/>
          <wp:effectExtent l="0" t="0" r="1905" b="8890"/>
          <wp:docPr id="9" name="图片 5" descr="logo国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descr="logo国电.png"/>
                  <pic:cNvPicPr>
                    <a:picLocks noChangeAspect="1"/>
                  </pic:cNvPicPr>
                </pic:nvPicPr>
                <pic:blipFill>
                  <a:blip r:embed="rId1"/>
                  <a:stretch>
                    <a:fillRect/>
                  </a:stretch>
                </pic:blipFill>
                <pic:spPr>
                  <a:xfrm>
                    <a:off x="0" y="0"/>
                    <a:ext cx="340995" cy="353060"/>
                  </a:xfrm>
                  <a:prstGeom prst="rect">
                    <a:avLst/>
                  </a:prstGeom>
                  <a:noFill/>
                  <a:ln>
                    <a:noFill/>
                  </a:ln>
                </pic:spPr>
              </pic:pic>
            </a:graphicData>
          </a:graphic>
        </wp:inline>
      </w:drawing>
    </w:r>
    <w:r>
      <w:rPr>
        <w:rFonts w:ascii="Calibri" w:hAnsi="Calibri" w:cs="Calibri"/>
        <w:color w:val="000000"/>
      </w:rPr>
      <w:t xml:space="preserve">Wuhan Goldhome Hipot Electrical Co.,ltd </w:t>
    </w:r>
    <w:r>
      <w:rPr>
        <w:rFonts w:ascii="Calibri" w:hAnsi="Calibri" w:cs="Calibri"/>
        <w:color w:val="000000"/>
        <w:sz w:val="21"/>
        <w:szCs w:val="21"/>
      </w:rPr>
      <w:t xml:space="preserve"> </w:t>
    </w:r>
    <w:r>
      <w:rPr>
        <w:rFonts w:hint="eastAsia" w:ascii="Calibri" w:hAnsi="Calibri" w:cs="Calibri"/>
        <w:color w:val="000000"/>
        <w:sz w:val="21"/>
        <w:szCs w:val="21"/>
      </w:rPr>
      <w:t xml:space="preserve">                            </w:t>
    </w:r>
    <w:r>
      <w:fldChar w:fldCharType="begin"/>
    </w:r>
    <w:r>
      <w:instrText xml:space="preserve"> HYPERLINK "http://www.cablehipot.com" </w:instrText>
    </w:r>
    <w:r>
      <w:fldChar w:fldCharType="separate"/>
    </w:r>
    <w:r>
      <w:rPr>
        <w:rStyle w:val="13"/>
        <w:rFonts w:ascii="Calibri" w:hAnsi="Calibri" w:cs="Calibri"/>
      </w:rPr>
      <w:t>www.</w:t>
    </w:r>
    <w:r>
      <w:rPr>
        <w:rStyle w:val="13"/>
        <w:rFonts w:hint="eastAsia" w:ascii="Calibri" w:hAnsi="Calibri" w:cs="Calibri"/>
      </w:rPr>
      <w:t>hv</w:t>
    </w:r>
    <w:r>
      <w:rPr>
        <w:rStyle w:val="13"/>
        <w:rFonts w:ascii="Calibri" w:hAnsi="Calibri" w:cs="Calibri"/>
      </w:rPr>
      <w:t>cablehipot.com</w:t>
    </w:r>
    <w:r>
      <w:rPr>
        <w:rStyle w:val="13"/>
        <w:rFonts w:ascii="Calibri" w:hAnsi="Calibri" w:cs="Calibri"/>
      </w:rPr>
      <w:fldChar w:fldCharType="end"/>
    </w:r>
    <w:r>
      <w:rPr>
        <w:rFonts w:hint="eastAsia" w:ascii="Calibri" w:hAnsi="Calibri" w:cs="Calibri"/>
        <w:color w:val="000000"/>
        <w:sz w:val="21"/>
        <w:szCs w:val="21"/>
      </w:rPr>
      <w:t xml:space="preserve">                                                                                                    </w:t>
    </w:r>
  </w:p>
  <w:p w14:paraId="239EA1E3">
    <w:pPr>
      <w:ind w:firstLine="42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3F7A4C"/>
    <w:multiLevelType w:val="singleLevel"/>
    <w:tmpl w:val="8D3F7A4C"/>
    <w:lvl w:ilvl="0" w:tentative="0">
      <w:start w:val="2"/>
      <w:numFmt w:val="chineseCounting"/>
      <w:suff w:val="nothing"/>
      <w:lvlText w:val="（%1）"/>
      <w:lvlJc w:val="left"/>
      <w:rPr>
        <w:rFonts w:hint="eastAsia"/>
        <w:sz w:val="28"/>
        <w:szCs w:val="28"/>
      </w:rPr>
    </w:lvl>
  </w:abstractNum>
  <w:abstractNum w:abstractNumId="1">
    <w:nsid w:val="C1731DCF"/>
    <w:multiLevelType w:val="multilevel"/>
    <w:tmpl w:val="C1731DCF"/>
    <w:lvl w:ilvl="0" w:tentative="0">
      <w:start w:val="1"/>
      <w:numFmt w:val="bullet"/>
      <w:suff w:val="nothing"/>
      <w:lvlText w:val=""/>
      <w:lvlJc w:val="left"/>
      <w:pPr>
        <w:ind w:left="5808" w:hanging="420"/>
      </w:pPr>
      <w:rPr>
        <w:rFonts w:hint="default" w:ascii="Wingdings" w:hAnsi="Wingdings"/>
      </w:rPr>
    </w:lvl>
    <w:lvl w:ilvl="1" w:tentative="0">
      <w:start w:val="1"/>
      <w:numFmt w:val="bullet"/>
      <w:lvlText w:val=""/>
      <w:lvlJc w:val="left"/>
      <w:pPr>
        <w:ind w:left="6228" w:hanging="420"/>
      </w:pPr>
      <w:rPr>
        <w:rFonts w:hint="default" w:ascii="Wingdings" w:hAnsi="Wingdings"/>
      </w:rPr>
    </w:lvl>
    <w:lvl w:ilvl="2" w:tentative="0">
      <w:start w:val="1"/>
      <w:numFmt w:val="bullet"/>
      <w:lvlText w:val=""/>
      <w:lvlJc w:val="left"/>
      <w:pPr>
        <w:ind w:left="6648" w:hanging="420"/>
      </w:pPr>
      <w:rPr>
        <w:rFonts w:hint="default" w:ascii="Wingdings" w:hAnsi="Wingdings"/>
      </w:rPr>
    </w:lvl>
    <w:lvl w:ilvl="3" w:tentative="0">
      <w:start w:val="1"/>
      <w:numFmt w:val="bullet"/>
      <w:lvlText w:val=""/>
      <w:lvlJc w:val="left"/>
      <w:pPr>
        <w:ind w:left="7068" w:hanging="420"/>
      </w:pPr>
      <w:rPr>
        <w:rFonts w:hint="default" w:ascii="Wingdings" w:hAnsi="Wingdings"/>
      </w:rPr>
    </w:lvl>
    <w:lvl w:ilvl="4" w:tentative="0">
      <w:start w:val="1"/>
      <w:numFmt w:val="bullet"/>
      <w:lvlText w:val=""/>
      <w:lvlJc w:val="left"/>
      <w:pPr>
        <w:ind w:left="7488" w:hanging="420"/>
      </w:pPr>
      <w:rPr>
        <w:rFonts w:hint="default" w:ascii="Wingdings" w:hAnsi="Wingdings"/>
      </w:rPr>
    </w:lvl>
    <w:lvl w:ilvl="5" w:tentative="0">
      <w:start w:val="1"/>
      <w:numFmt w:val="bullet"/>
      <w:lvlText w:val=""/>
      <w:lvlJc w:val="left"/>
      <w:pPr>
        <w:ind w:left="7908" w:hanging="420"/>
      </w:pPr>
      <w:rPr>
        <w:rFonts w:hint="default" w:ascii="Wingdings" w:hAnsi="Wingdings"/>
      </w:rPr>
    </w:lvl>
    <w:lvl w:ilvl="6" w:tentative="0">
      <w:start w:val="1"/>
      <w:numFmt w:val="bullet"/>
      <w:lvlText w:val=""/>
      <w:lvlJc w:val="left"/>
      <w:pPr>
        <w:ind w:left="8328" w:hanging="420"/>
      </w:pPr>
      <w:rPr>
        <w:rFonts w:hint="default" w:ascii="Wingdings" w:hAnsi="Wingdings"/>
      </w:rPr>
    </w:lvl>
    <w:lvl w:ilvl="7" w:tentative="0">
      <w:start w:val="1"/>
      <w:numFmt w:val="bullet"/>
      <w:lvlText w:val=""/>
      <w:lvlJc w:val="left"/>
      <w:pPr>
        <w:ind w:left="8748" w:hanging="420"/>
      </w:pPr>
      <w:rPr>
        <w:rFonts w:hint="default" w:ascii="Wingdings" w:hAnsi="Wingdings"/>
      </w:rPr>
    </w:lvl>
    <w:lvl w:ilvl="8" w:tentative="0">
      <w:start w:val="1"/>
      <w:numFmt w:val="bullet"/>
      <w:lvlText w:val=""/>
      <w:lvlJc w:val="left"/>
      <w:pPr>
        <w:ind w:left="9168" w:hanging="420"/>
      </w:pPr>
      <w:rPr>
        <w:rFonts w:hint="default" w:ascii="Wingdings" w:hAnsi="Wingdings"/>
      </w:rPr>
    </w:lvl>
  </w:abstractNum>
  <w:abstractNum w:abstractNumId="2">
    <w:nsid w:val="C9D83B25"/>
    <w:multiLevelType w:val="multilevel"/>
    <w:tmpl w:val="C9D83B25"/>
    <w:lvl w:ilvl="0" w:tentative="0">
      <w:start w:val="1"/>
      <w:numFmt w:val="bullet"/>
      <w:suff w:val="nothing"/>
      <w:lvlText w:val=""/>
      <w:lvlJc w:val="left"/>
      <w:pPr>
        <w:ind w:left="1050" w:hanging="420"/>
      </w:pPr>
      <w:rPr>
        <w:rFonts w:hint="default" w:ascii="Wingdings" w:hAnsi="Wingdings"/>
      </w:rPr>
    </w:lvl>
    <w:lvl w:ilvl="1" w:tentative="0">
      <w:start w:val="1"/>
      <w:numFmt w:val="bullet"/>
      <w:lvlText w:val=""/>
      <w:lvlJc w:val="left"/>
      <w:pPr>
        <w:ind w:left="1470" w:hanging="420"/>
      </w:pPr>
      <w:rPr>
        <w:rFonts w:hint="default" w:ascii="Wingdings" w:hAnsi="Wingdings"/>
      </w:rPr>
    </w:lvl>
    <w:lvl w:ilvl="2" w:tentative="0">
      <w:start w:val="1"/>
      <w:numFmt w:val="bullet"/>
      <w:lvlText w:val=""/>
      <w:lvlJc w:val="left"/>
      <w:pPr>
        <w:ind w:left="1890" w:hanging="420"/>
      </w:pPr>
      <w:rPr>
        <w:rFonts w:hint="default" w:ascii="Wingdings" w:hAnsi="Wingdings"/>
      </w:rPr>
    </w:lvl>
    <w:lvl w:ilvl="3" w:tentative="0">
      <w:start w:val="1"/>
      <w:numFmt w:val="bullet"/>
      <w:lvlText w:val=""/>
      <w:lvlJc w:val="left"/>
      <w:pPr>
        <w:ind w:left="2310" w:hanging="420"/>
      </w:pPr>
      <w:rPr>
        <w:rFonts w:hint="default" w:ascii="Wingdings" w:hAnsi="Wingdings"/>
      </w:rPr>
    </w:lvl>
    <w:lvl w:ilvl="4" w:tentative="0">
      <w:start w:val="1"/>
      <w:numFmt w:val="bullet"/>
      <w:lvlText w:val=""/>
      <w:lvlJc w:val="left"/>
      <w:pPr>
        <w:ind w:left="2730" w:hanging="420"/>
      </w:pPr>
      <w:rPr>
        <w:rFonts w:hint="default" w:ascii="Wingdings" w:hAnsi="Wingdings"/>
      </w:rPr>
    </w:lvl>
    <w:lvl w:ilvl="5" w:tentative="0">
      <w:start w:val="1"/>
      <w:numFmt w:val="bullet"/>
      <w:lvlText w:val=""/>
      <w:lvlJc w:val="left"/>
      <w:pPr>
        <w:ind w:left="3150" w:hanging="420"/>
      </w:pPr>
      <w:rPr>
        <w:rFonts w:hint="default" w:ascii="Wingdings" w:hAnsi="Wingdings"/>
      </w:rPr>
    </w:lvl>
    <w:lvl w:ilvl="6" w:tentative="0">
      <w:start w:val="1"/>
      <w:numFmt w:val="bullet"/>
      <w:lvlText w:val=""/>
      <w:lvlJc w:val="left"/>
      <w:pPr>
        <w:ind w:left="3570" w:hanging="420"/>
      </w:pPr>
      <w:rPr>
        <w:rFonts w:hint="default" w:ascii="Wingdings" w:hAnsi="Wingdings"/>
      </w:rPr>
    </w:lvl>
    <w:lvl w:ilvl="7" w:tentative="0">
      <w:start w:val="1"/>
      <w:numFmt w:val="bullet"/>
      <w:lvlText w:val=""/>
      <w:lvlJc w:val="left"/>
      <w:pPr>
        <w:ind w:left="3990" w:hanging="420"/>
      </w:pPr>
      <w:rPr>
        <w:rFonts w:hint="default" w:ascii="Wingdings" w:hAnsi="Wingdings"/>
      </w:rPr>
    </w:lvl>
    <w:lvl w:ilvl="8" w:tentative="0">
      <w:start w:val="1"/>
      <w:numFmt w:val="bullet"/>
      <w:lvlText w:val=""/>
      <w:lvlJc w:val="left"/>
      <w:pPr>
        <w:ind w:left="4410" w:hanging="420"/>
      </w:pPr>
      <w:rPr>
        <w:rFonts w:hint="default" w:ascii="Wingdings" w:hAnsi="Wingdings"/>
      </w:rPr>
    </w:lvl>
  </w:abstractNum>
  <w:abstractNum w:abstractNumId="3">
    <w:nsid w:val="52DE6F55"/>
    <w:multiLevelType w:val="singleLevel"/>
    <w:tmpl w:val="52DE6F55"/>
    <w:lvl w:ilvl="0" w:tentative="0">
      <w:start w:val="2"/>
      <w:numFmt w:val="decimal"/>
      <w:suff w:val="nothing"/>
      <w:lvlText w:val="（%1）"/>
      <w:lvlJc w:val="left"/>
      <w:rPr>
        <w:rFonts w:hint="default"/>
        <w:b/>
        <w:bCs/>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footnotePr>
    <w:footnote w:id="0"/>
    <w:footnote w:id="1"/>
  </w:footnotePr>
  <w:endnotePr>
    <w:endnote w:id="0"/>
    <w:endnote w:id="1"/>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Q4NDZiZjg5NjAwZTdlMzUzNzJhY2I5MWIzOTZiMTYifQ=="/>
  </w:docVars>
  <w:rsids>
    <w:rsidRoot w:val="00172A27"/>
    <w:rsid w:val="00001244"/>
    <w:rsid w:val="0000145E"/>
    <w:rsid w:val="00003698"/>
    <w:rsid w:val="00003E9B"/>
    <w:rsid w:val="00005FA2"/>
    <w:rsid w:val="00012985"/>
    <w:rsid w:val="00015401"/>
    <w:rsid w:val="000160FD"/>
    <w:rsid w:val="00026854"/>
    <w:rsid w:val="00026C43"/>
    <w:rsid w:val="00026C86"/>
    <w:rsid w:val="000277A5"/>
    <w:rsid w:val="00032434"/>
    <w:rsid w:val="00041DF3"/>
    <w:rsid w:val="00042A78"/>
    <w:rsid w:val="00042BA5"/>
    <w:rsid w:val="00044DAA"/>
    <w:rsid w:val="0004572D"/>
    <w:rsid w:val="00045F17"/>
    <w:rsid w:val="00047A33"/>
    <w:rsid w:val="000503B5"/>
    <w:rsid w:val="000509FF"/>
    <w:rsid w:val="0005744E"/>
    <w:rsid w:val="00060526"/>
    <w:rsid w:val="000648DA"/>
    <w:rsid w:val="00065D18"/>
    <w:rsid w:val="00066716"/>
    <w:rsid w:val="00067121"/>
    <w:rsid w:val="00071683"/>
    <w:rsid w:val="000718F7"/>
    <w:rsid w:val="00074CB9"/>
    <w:rsid w:val="00076637"/>
    <w:rsid w:val="000767DD"/>
    <w:rsid w:val="000779F6"/>
    <w:rsid w:val="0008027B"/>
    <w:rsid w:val="000803B5"/>
    <w:rsid w:val="00080970"/>
    <w:rsid w:val="00080A7B"/>
    <w:rsid w:val="0008263E"/>
    <w:rsid w:val="000827AC"/>
    <w:rsid w:val="0008447C"/>
    <w:rsid w:val="0008455D"/>
    <w:rsid w:val="00085860"/>
    <w:rsid w:val="00093846"/>
    <w:rsid w:val="00093F75"/>
    <w:rsid w:val="000965E2"/>
    <w:rsid w:val="0009697F"/>
    <w:rsid w:val="00097720"/>
    <w:rsid w:val="000A0B0E"/>
    <w:rsid w:val="000A20EA"/>
    <w:rsid w:val="000A2A92"/>
    <w:rsid w:val="000A2E7A"/>
    <w:rsid w:val="000A3B9A"/>
    <w:rsid w:val="000A3BA8"/>
    <w:rsid w:val="000A5A3C"/>
    <w:rsid w:val="000A5EF3"/>
    <w:rsid w:val="000B49A8"/>
    <w:rsid w:val="000B563B"/>
    <w:rsid w:val="000B64CE"/>
    <w:rsid w:val="000B65C7"/>
    <w:rsid w:val="000B69A6"/>
    <w:rsid w:val="000B6DBA"/>
    <w:rsid w:val="000C02EE"/>
    <w:rsid w:val="000C1D12"/>
    <w:rsid w:val="000C268A"/>
    <w:rsid w:val="000C3A55"/>
    <w:rsid w:val="000C3DBA"/>
    <w:rsid w:val="000C493E"/>
    <w:rsid w:val="000C692D"/>
    <w:rsid w:val="000C7260"/>
    <w:rsid w:val="000C7D11"/>
    <w:rsid w:val="000D08C9"/>
    <w:rsid w:val="000D11B7"/>
    <w:rsid w:val="000D14F2"/>
    <w:rsid w:val="000D288E"/>
    <w:rsid w:val="000D4039"/>
    <w:rsid w:val="000D4F9B"/>
    <w:rsid w:val="000D5C28"/>
    <w:rsid w:val="000E09FB"/>
    <w:rsid w:val="000E1AA5"/>
    <w:rsid w:val="000E2735"/>
    <w:rsid w:val="000E2971"/>
    <w:rsid w:val="000E45C4"/>
    <w:rsid w:val="000E4921"/>
    <w:rsid w:val="000E7963"/>
    <w:rsid w:val="000F21A4"/>
    <w:rsid w:val="000F2232"/>
    <w:rsid w:val="000F6B91"/>
    <w:rsid w:val="000F6DA5"/>
    <w:rsid w:val="000F7807"/>
    <w:rsid w:val="001008CA"/>
    <w:rsid w:val="0010107E"/>
    <w:rsid w:val="001011C2"/>
    <w:rsid w:val="001042EB"/>
    <w:rsid w:val="00104E7C"/>
    <w:rsid w:val="00104F5B"/>
    <w:rsid w:val="00106D0A"/>
    <w:rsid w:val="001075AB"/>
    <w:rsid w:val="00107D8D"/>
    <w:rsid w:val="00113FAA"/>
    <w:rsid w:val="001253AE"/>
    <w:rsid w:val="0012699F"/>
    <w:rsid w:val="00135073"/>
    <w:rsid w:val="00135A79"/>
    <w:rsid w:val="00146BB3"/>
    <w:rsid w:val="001500BC"/>
    <w:rsid w:val="00150D51"/>
    <w:rsid w:val="00152BDF"/>
    <w:rsid w:val="00160FF2"/>
    <w:rsid w:val="001611B4"/>
    <w:rsid w:val="00162717"/>
    <w:rsid w:val="00162943"/>
    <w:rsid w:val="00165318"/>
    <w:rsid w:val="001715B4"/>
    <w:rsid w:val="001727E9"/>
    <w:rsid w:val="00172A27"/>
    <w:rsid w:val="001731DB"/>
    <w:rsid w:val="0017465E"/>
    <w:rsid w:val="00175225"/>
    <w:rsid w:val="0017630F"/>
    <w:rsid w:val="00177B0F"/>
    <w:rsid w:val="00182953"/>
    <w:rsid w:val="001832D9"/>
    <w:rsid w:val="00184298"/>
    <w:rsid w:val="00184690"/>
    <w:rsid w:val="001852A3"/>
    <w:rsid w:val="00185EEB"/>
    <w:rsid w:val="0019074E"/>
    <w:rsid w:val="00192BAE"/>
    <w:rsid w:val="00192F77"/>
    <w:rsid w:val="00193EC6"/>
    <w:rsid w:val="001950A7"/>
    <w:rsid w:val="001A4E70"/>
    <w:rsid w:val="001A6211"/>
    <w:rsid w:val="001B4800"/>
    <w:rsid w:val="001B4897"/>
    <w:rsid w:val="001B61B2"/>
    <w:rsid w:val="001C0353"/>
    <w:rsid w:val="001C0C13"/>
    <w:rsid w:val="001C2521"/>
    <w:rsid w:val="001C321A"/>
    <w:rsid w:val="001C57AC"/>
    <w:rsid w:val="001C5D0B"/>
    <w:rsid w:val="001D0A0C"/>
    <w:rsid w:val="001D0AD7"/>
    <w:rsid w:val="001D0E12"/>
    <w:rsid w:val="001D2E41"/>
    <w:rsid w:val="001D4299"/>
    <w:rsid w:val="001E05A0"/>
    <w:rsid w:val="001E0618"/>
    <w:rsid w:val="001E13D1"/>
    <w:rsid w:val="001E3B67"/>
    <w:rsid w:val="001E3F7F"/>
    <w:rsid w:val="001E4C32"/>
    <w:rsid w:val="001F10E0"/>
    <w:rsid w:val="001F15A7"/>
    <w:rsid w:val="001F3889"/>
    <w:rsid w:val="001F5D06"/>
    <w:rsid w:val="001F6CF5"/>
    <w:rsid w:val="002004F6"/>
    <w:rsid w:val="002007BC"/>
    <w:rsid w:val="00201D16"/>
    <w:rsid w:val="00204691"/>
    <w:rsid w:val="00206CCA"/>
    <w:rsid w:val="00207150"/>
    <w:rsid w:val="002104E9"/>
    <w:rsid w:val="00210638"/>
    <w:rsid w:val="0021268B"/>
    <w:rsid w:val="00214C3C"/>
    <w:rsid w:val="002165C8"/>
    <w:rsid w:val="002168D9"/>
    <w:rsid w:val="00220A98"/>
    <w:rsid w:val="002256C6"/>
    <w:rsid w:val="00225F43"/>
    <w:rsid w:val="00226CED"/>
    <w:rsid w:val="00227332"/>
    <w:rsid w:val="002306FE"/>
    <w:rsid w:val="00230C00"/>
    <w:rsid w:val="00232BEF"/>
    <w:rsid w:val="00237B98"/>
    <w:rsid w:val="0024062C"/>
    <w:rsid w:val="00241292"/>
    <w:rsid w:val="002428FA"/>
    <w:rsid w:val="002445F7"/>
    <w:rsid w:val="0024742A"/>
    <w:rsid w:val="00247A50"/>
    <w:rsid w:val="0025509F"/>
    <w:rsid w:val="00261E70"/>
    <w:rsid w:val="00263A60"/>
    <w:rsid w:val="00264983"/>
    <w:rsid w:val="00267A35"/>
    <w:rsid w:val="00272EF5"/>
    <w:rsid w:val="00274563"/>
    <w:rsid w:val="00275C48"/>
    <w:rsid w:val="0027601B"/>
    <w:rsid w:val="0027745C"/>
    <w:rsid w:val="00283087"/>
    <w:rsid w:val="0028391E"/>
    <w:rsid w:val="00284F05"/>
    <w:rsid w:val="002855C5"/>
    <w:rsid w:val="00285856"/>
    <w:rsid w:val="002902D9"/>
    <w:rsid w:val="0029078F"/>
    <w:rsid w:val="00297282"/>
    <w:rsid w:val="002A0EED"/>
    <w:rsid w:val="002A2272"/>
    <w:rsid w:val="002A3706"/>
    <w:rsid w:val="002A4E23"/>
    <w:rsid w:val="002B07F0"/>
    <w:rsid w:val="002B0F95"/>
    <w:rsid w:val="002B0FBC"/>
    <w:rsid w:val="002B172D"/>
    <w:rsid w:val="002B1F7D"/>
    <w:rsid w:val="002B4862"/>
    <w:rsid w:val="002B7A35"/>
    <w:rsid w:val="002B7C21"/>
    <w:rsid w:val="002C3778"/>
    <w:rsid w:val="002C4E1E"/>
    <w:rsid w:val="002D1EE5"/>
    <w:rsid w:val="002D24F9"/>
    <w:rsid w:val="002D2F6F"/>
    <w:rsid w:val="002D3D1D"/>
    <w:rsid w:val="002D60A1"/>
    <w:rsid w:val="002E0827"/>
    <w:rsid w:val="002E2FC5"/>
    <w:rsid w:val="002E45B3"/>
    <w:rsid w:val="002F36A5"/>
    <w:rsid w:val="002F6DDF"/>
    <w:rsid w:val="00300100"/>
    <w:rsid w:val="0030432C"/>
    <w:rsid w:val="00306DE7"/>
    <w:rsid w:val="00307FE8"/>
    <w:rsid w:val="0031314F"/>
    <w:rsid w:val="00313370"/>
    <w:rsid w:val="00314A80"/>
    <w:rsid w:val="003179C3"/>
    <w:rsid w:val="003206DA"/>
    <w:rsid w:val="0032148D"/>
    <w:rsid w:val="00322155"/>
    <w:rsid w:val="003263F7"/>
    <w:rsid w:val="003269D2"/>
    <w:rsid w:val="00330E7F"/>
    <w:rsid w:val="00331512"/>
    <w:rsid w:val="00332F43"/>
    <w:rsid w:val="003407C2"/>
    <w:rsid w:val="003455AB"/>
    <w:rsid w:val="003459F9"/>
    <w:rsid w:val="00345A4D"/>
    <w:rsid w:val="0034668A"/>
    <w:rsid w:val="00351ACF"/>
    <w:rsid w:val="003536A8"/>
    <w:rsid w:val="00354C66"/>
    <w:rsid w:val="003559CE"/>
    <w:rsid w:val="00356365"/>
    <w:rsid w:val="00356CCB"/>
    <w:rsid w:val="00357599"/>
    <w:rsid w:val="003575CE"/>
    <w:rsid w:val="003668FE"/>
    <w:rsid w:val="00366EBD"/>
    <w:rsid w:val="00367B71"/>
    <w:rsid w:val="003775FE"/>
    <w:rsid w:val="00380A66"/>
    <w:rsid w:val="0038145F"/>
    <w:rsid w:val="00385E2D"/>
    <w:rsid w:val="00386F37"/>
    <w:rsid w:val="00387097"/>
    <w:rsid w:val="00390317"/>
    <w:rsid w:val="00397EAD"/>
    <w:rsid w:val="003A0D6C"/>
    <w:rsid w:val="003A186C"/>
    <w:rsid w:val="003A24BA"/>
    <w:rsid w:val="003A6504"/>
    <w:rsid w:val="003A6C35"/>
    <w:rsid w:val="003B354F"/>
    <w:rsid w:val="003B3CCA"/>
    <w:rsid w:val="003B5E6E"/>
    <w:rsid w:val="003B6CB3"/>
    <w:rsid w:val="003B72B4"/>
    <w:rsid w:val="003B7648"/>
    <w:rsid w:val="003C0D61"/>
    <w:rsid w:val="003C1E93"/>
    <w:rsid w:val="003C2668"/>
    <w:rsid w:val="003C466E"/>
    <w:rsid w:val="003C5B7D"/>
    <w:rsid w:val="003C6D8D"/>
    <w:rsid w:val="003D28A2"/>
    <w:rsid w:val="003D4189"/>
    <w:rsid w:val="003D5C79"/>
    <w:rsid w:val="003E01A6"/>
    <w:rsid w:val="003E16B0"/>
    <w:rsid w:val="003E684F"/>
    <w:rsid w:val="003E6C24"/>
    <w:rsid w:val="003E7DBF"/>
    <w:rsid w:val="003F0D07"/>
    <w:rsid w:val="003F151C"/>
    <w:rsid w:val="003F2C51"/>
    <w:rsid w:val="003F31BF"/>
    <w:rsid w:val="003F5036"/>
    <w:rsid w:val="003F5796"/>
    <w:rsid w:val="003F5D93"/>
    <w:rsid w:val="003F7EEB"/>
    <w:rsid w:val="00402762"/>
    <w:rsid w:val="00410555"/>
    <w:rsid w:val="00411206"/>
    <w:rsid w:val="0041196E"/>
    <w:rsid w:val="00413278"/>
    <w:rsid w:val="00413930"/>
    <w:rsid w:val="00415063"/>
    <w:rsid w:val="0041586A"/>
    <w:rsid w:val="00417A49"/>
    <w:rsid w:val="00421EBC"/>
    <w:rsid w:val="00423CFE"/>
    <w:rsid w:val="004247F5"/>
    <w:rsid w:val="00427B4F"/>
    <w:rsid w:val="0043122D"/>
    <w:rsid w:val="004313D5"/>
    <w:rsid w:val="00431A8C"/>
    <w:rsid w:val="00433A09"/>
    <w:rsid w:val="00434C79"/>
    <w:rsid w:val="004362E4"/>
    <w:rsid w:val="00437B4A"/>
    <w:rsid w:val="00441FDF"/>
    <w:rsid w:val="00443591"/>
    <w:rsid w:val="004437FF"/>
    <w:rsid w:val="00443C30"/>
    <w:rsid w:val="00444654"/>
    <w:rsid w:val="0044704B"/>
    <w:rsid w:val="004547E0"/>
    <w:rsid w:val="004604C4"/>
    <w:rsid w:val="004629A2"/>
    <w:rsid w:val="004633BF"/>
    <w:rsid w:val="00463979"/>
    <w:rsid w:val="00463EF1"/>
    <w:rsid w:val="004659CF"/>
    <w:rsid w:val="00465BA8"/>
    <w:rsid w:val="004666F8"/>
    <w:rsid w:val="00467C12"/>
    <w:rsid w:val="00473825"/>
    <w:rsid w:val="00473F33"/>
    <w:rsid w:val="004745AE"/>
    <w:rsid w:val="00474FEF"/>
    <w:rsid w:val="00476705"/>
    <w:rsid w:val="00476D4C"/>
    <w:rsid w:val="00482853"/>
    <w:rsid w:val="00487B2C"/>
    <w:rsid w:val="00493DDB"/>
    <w:rsid w:val="00494D51"/>
    <w:rsid w:val="00496974"/>
    <w:rsid w:val="00496E13"/>
    <w:rsid w:val="004A0C2C"/>
    <w:rsid w:val="004A1196"/>
    <w:rsid w:val="004A203C"/>
    <w:rsid w:val="004A2BAF"/>
    <w:rsid w:val="004A39B3"/>
    <w:rsid w:val="004A5674"/>
    <w:rsid w:val="004B0D02"/>
    <w:rsid w:val="004B12F0"/>
    <w:rsid w:val="004B2CC5"/>
    <w:rsid w:val="004B351E"/>
    <w:rsid w:val="004C0C5D"/>
    <w:rsid w:val="004C3B05"/>
    <w:rsid w:val="004C4499"/>
    <w:rsid w:val="004C5381"/>
    <w:rsid w:val="004C69C9"/>
    <w:rsid w:val="004C6F13"/>
    <w:rsid w:val="004D6E67"/>
    <w:rsid w:val="004E3194"/>
    <w:rsid w:val="004E36C8"/>
    <w:rsid w:val="004E5D69"/>
    <w:rsid w:val="004F0F73"/>
    <w:rsid w:val="004F470A"/>
    <w:rsid w:val="004F4E2B"/>
    <w:rsid w:val="005071A7"/>
    <w:rsid w:val="005103B9"/>
    <w:rsid w:val="0051371F"/>
    <w:rsid w:val="0051414F"/>
    <w:rsid w:val="00517333"/>
    <w:rsid w:val="00517684"/>
    <w:rsid w:val="00517D4F"/>
    <w:rsid w:val="00517E6D"/>
    <w:rsid w:val="0052737E"/>
    <w:rsid w:val="00527E0D"/>
    <w:rsid w:val="00531D32"/>
    <w:rsid w:val="00537831"/>
    <w:rsid w:val="00544A9A"/>
    <w:rsid w:val="00544ECE"/>
    <w:rsid w:val="00546008"/>
    <w:rsid w:val="00552846"/>
    <w:rsid w:val="00555432"/>
    <w:rsid w:val="005574AA"/>
    <w:rsid w:val="005575CF"/>
    <w:rsid w:val="00560E32"/>
    <w:rsid w:val="005637DF"/>
    <w:rsid w:val="00570DB1"/>
    <w:rsid w:val="00570DFD"/>
    <w:rsid w:val="0057298C"/>
    <w:rsid w:val="00574C82"/>
    <w:rsid w:val="00576DBF"/>
    <w:rsid w:val="005774B8"/>
    <w:rsid w:val="00577E36"/>
    <w:rsid w:val="00580C81"/>
    <w:rsid w:val="00580E3B"/>
    <w:rsid w:val="0058108C"/>
    <w:rsid w:val="0058187C"/>
    <w:rsid w:val="00584DDC"/>
    <w:rsid w:val="00585FF5"/>
    <w:rsid w:val="00587638"/>
    <w:rsid w:val="005901B3"/>
    <w:rsid w:val="0059068B"/>
    <w:rsid w:val="00590A07"/>
    <w:rsid w:val="005921EA"/>
    <w:rsid w:val="00592F44"/>
    <w:rsid w:val="00595557"/>
    <w:rsid w:val="00595F4B"/>
    <w:rsid w:val="00596288"/>
    <w:rsid w:val="00596623"/>
    <w:rsid w:val="005979E2"/>
    <w:rsid w:val="005A5D1F"/>
    <w:rsid w:val="005B22EF"/>
    <w:rsid w:val="005B2F48"/>
    <w:rsid w:val="005B6348"/>
    <w:rsid w:val="005C131D"/>
    <w:rsid w:val="005C2450"/>
    <w:rsid w:val="005C3844"/>
    <w:rsid w:val="005C3A50"/>
    <w:rsid w:val="005C4861"/>
    <w:rsid w:val="005C6702"/>
    <w:rsid w:val="005D0185"/>
    <w:rsid w:val="005D1794"/>
    <w:rsid w:val="005D1932"/>
    <w:rsid w:val="005D1DF7"/>
    <w:rsid w:val="005D3B27"/>
    <w:rsid w:val="005D476E"/>
    <w:rsid w:val="005E37FD"/>
    <w:rsid w:val="005E3F5D"/>
    <w:rsid w:val="005E6E2E"/>
    <w:rsid w:val="005E7133"/>
    <w:rsid w:val="005F2ED1"/>
    <w:rsid w:val="005F77A6"/>
    <w:rsid w:val="0060050A"/>
    <w:rsid w:val="006028B8"/>
    <w:rsid w:val="00603267"/>
    <w:rsid w:val="00603905"/>
    <w:rsid w:val="00604179"/>
    <w:rsid w:val="0060559A"/>
    <w:rsid w:val="006061E5"/>
    <w:rsid w:val="006077FB"/>
    <w:rsid w:val="00607C6A"/>
    <w:rsid w:val="00611D3A"/>
    <w:rsid w:val="00613506"/>
    <w:rsid w:val="0061466F"/>
    <w:rsid w:val="00614F09"/>
    <w:rsid w:val="00615C24"/>
    <w:rsid w:val="00621320"/>
    <w:rsid w:val="00622361"/>
    <w:rsid w:val="006233AD"/>
    <w:rsid w:val="00623D1E"/>
    <w:rsid w:val="0062450A"/>
    <w:rsid w:val="00624BC5"/>
    <w:rsid w:val="00624BD1"/>
    <w:rsid w:val="00624DDD"/>
    <w:rsid w:val="00625D77"/>
    <w:rsid w:val="00627FA8"/>
    <w:rsid w:val="00630CFF"/>
    <w:rsid w:val="0063194E"/>
    <w:rsid w:val="006354DD"/>
    <w:rsid w:val="006356B0"/>
    <w:rsid w:val="00635D69"/>
    <w:rsid w:val="00635EF4"/>
    <w:rsid w:val="006372EC"/>
    <w:rsid w:val="00637D61"/>
    <w:rsid w:val="00641841"/>
    <w:rsid w:val="006426D2"/>
    <w:rsid w:val="00642A1F"/>
    <w:rsid w:val="00651FEB"/>
    <w:rsid w:val="006521E1"/>
    <w:rsid w:val="00652EB7"/>
    <w:rsid w:val="00654705"/>
    <w:rsid w:val="00656226"/>
    <w:rsid w:val="006570DC"/>
    <w:rsid w:val="00657985"/>
    <w:rsid w:val="006623F5"/>
    <w:rsid w:val="006636CA"/>
    <w:rsid w:val="00665275"/>
    <w:rsid w:val="00665DEB"/>
    <w:rsid w:val="006671B1"/>
    <w:rsid w:val="00667DC1"/>
    <w:rsid w:val="00673A6F"/>
    <w:rsid w:val="00676A9B"/>
    <w:rsid w:val="00680E16"/>
    <w:rsid w:val="00681680"/>
    <w:rsid w:val="006848B2"/>
    <w:rsid w:val="0068637C"/>
    <w:rsid w:val="0068655D"/>
    <w:rsid w:val="006875E1"/>
    <w:rsid w:val="00691AFC"/>
    <w:rsid w:val="00691F48"/>
    <w:rsid w:val="006947A3"/>
    <w:rsid w:val="00694FDC"/>
    <w:rsid w:val="006957A1"/>
    <w:rsid w:val="00696855"/>
    <w:rsid w:val="00697B5D"/>
    <w:rsid w:val="006A13F7"/>
    <w:rsid w:val="006A255F"/>
    <w:rsid w:val="006A2C5E"/>
    <w:rsid w:val="006A6E2F"/>
    <w:rsid w:val="006A7100"/>
    <w:rsid w:val="006B1293"/>
    <w:rsid w:val="006B1412"/>
    <w:rsid w:val="006B2BEF"/>
    <w:rsid w:val="006B2EB7"/>
    <w:rsid w:val="006B3761"/>
    <w:rsid w:val="006B4F44"/>
    <w:rsid w:val="006B5CBE"/>
    <w:rsid w:val="006C06F3"/>
    <w:rsid w:val="006C0F18"/>
    <w:rsid w:val="006C1CC2"/>
    <w:rsid w:val="006C40ED"/>
    <w:rsid w:val="006C4633"/>
    <w:rsid w:val="006C7DCD"/>
    <w:rsid w:val="006D0C0F"/>
    <w:rsid w:val="006D23B5"/>
    <w:rsid w:val="006D27EE"/>
    <w:rsid w:val="006D541A"/>
    <w:rsid w:val="006D6FFE"/>
    <w:rsid w:val="006D71F3"/>
    <w:rsid w:val="006E08B5"/>
    <w:rsid w:val="006E0F95"/>
    <w:rsid w:val="006E393C"/>
    <w:rsid w:val="006E484D"/>
    <w:rsid w:val="006E5D79"/>
    <w:rsid w:val="006F3804"/>
    <w:rsid w:val="006F3C31"/>
    <w:rsid w:val="006F6B1C"/>
    <w:rsid w:val="006F75B5"/>
    <w:rsid w:val="00700F05"/>
    <w:rsid w:val="00701AC6"/>
    <w:rsid w:val="00702068"/>
    <w:rsid w:val="0070243B"/>
    <w:rsid w:val="00703D6E"/>
    <w:rsid w:val="00707512"/>
    <w:rsid w:val="0071060F"/>
    <w:rsid w:val="00710DCA"/>
    <w:rsid w:val="0071115F"/>
    <w:rsid w:val="007116AD"/>
    <w:rsid w:val="007147FF"/>
    <w:rsid w:val="00714A40"/>
    <w:rsid w:val="0071754A"/>
    <w:rsid w:val="0072188A"/>
    <w:rsid w:val="00722DA2"/>
    <w:rsid w:val="00722E85"/>
    <w:rsid w:val="00726E25"/>
    <w:rsid w:val="007277E9"/>
    <w:rsid w:val="007338DC"/>
    <w:rsid w:val="007355D9"/>
    <w:rsid w:val="007360D7"/>
    <w:rsid w:val="00737E43"/>
    <w:rsid w:val="0074425E"/>
    <w:rsid w:val="00746793"/>
    <w:rsid w:val="00746D24"/>
    <w:rsid w:val="00751402"/>
    <w:rsid w:val="00752CEF"/>
    <w:rsid w:val="0075391B"/>
    <w:rsid w:val="00754B73"/>
    <w:rsid w:val="00754D30"/>
    <w:rsid w:val="0075657F"/>
    <w:rsid w:val="00760F1B"/>
    <w:rsid w:val="0076129B"/>
    <w:rsid w:val="00761F8A"/>
    <w:rsid w:val="00762C21"/>
    <w:rsid w:val="007656E7"/>
    <w:rsid w:val="00766B0D"/>
    <w:rsid w:val="0076795B"/>
    <w:rsid w:val="00774EBE"/>
    <w:rsid w:val="007751D1"/>
    <w:rsid w:val="007769B0"/>
    <w:rsid w:val="00783385"/>
    <w:rsid w:val="0078486C"/>
    <w:rsid w:val="00784C3A"/>
    <w:rsid w:val="00784E33"/>
    <w:rsid w:val="00787740"/>
    <w:rsid w:val="00791E27"/>
    <w:rsid w:val="007920FA"/>
    <w:rsid w:val="0079221D"/>
    <w:rsid w:val="007955EC"/>
    <w:rsid w:val="00795A23"/>
    <w:rsid w:val="00795AE4"/>
    <w:rsid w:val="00797896"/>
    <w:rsid w:val="007A48A4"/>
    <w:rsid w:val="007A7EC2"/>
    <w:rsid w:val="007B2618"/>
    <w:rsid w:val="007B4C7F"/>
    <w:rsid w:val="007B5327"/>
    <w:rsid w:val="007B71D9"/>
    <w:rsid w:val="007C0E42"/>
    <w:rsid w:val="007C3641"/>
    <w:rsid w:val="007C53AB"/>
    <w:rsid w:val="007C63A9"/>
    <w:rsid w:val="007C7FC3"/>
    <w:rsid w:val="007D0098"/>
    <w:rsid w:val="007D1A1C"/>
    <w:rsid w:val="007D27C2"/>
    <w:rsid w:val="007D2FAC"/>
    <w:rsid w:val="007D4CB2"/>
    <w:rsid w:val="007E0316"/>
    <w:rsid w:val="007E2C1A"/>
    <w:rsid w:val="007E33ED"/>
    <w:rsid w:val="007E4079"/>
    <w:rsid w:val="007E41C6"/>
    <w:rsid w:val="007E42AB"/>
    <w:rsid w:val="007E47FD"/>
    <w:rsid w:val="007E556D"/>
    <w:rsid w:val="007E718F"/>
    <w:rsid w:val="007E76D7"/>
    <w:rsid w:val="007E7DAA"/>
    <w:rsid w:val="007F101C"/>
    <w:rsid w:val="007F2E1B"/>
    <w:rsid w:val="007F3FB5"/>
    <w:rsid w:val="007F52FC"/>
    <w:rsid w:val="007F64D0"/>
    <w:rsid w:val="007F7348"/>
    <w:rsid w:val="007F73B8"/>
    <w:rsid w:val="00802054"/>
    <w:rsid w:val="008051BE"/>
    <w:rsid w:val="0080769C"/>
    <w:rsid w:val="00807B55"/>
    <w:rsid w:val="00811D6F"/>
    <w:rsid w:val="0081337D"/>
    <w:rsid w:val="0081340D"/>
    <w:rsid w:val="00817887"/>
    <w:rsid w:val="008220C8"/>
    <w:rsid w:val="00822512"/>
    <w:rsid w:val="008229FC"/>
    <w:rsid w:val="00825C6D"/>
    <w:rsid w:val="0082608E"/>
    <w:rsid w:val="0082633E"/>
    <w:rsid w:val="00830728"/>
    <w:rsid w:val="00830AD6"/>
    <w:rsid w:val="0083139F"/>
    <w:rsid w:val="00832AC0"/>
    <w:rsid w:val="008340F2"/>
    <w:rsid w:val="0083468D"/>
    <w:rsid w:val="008346A0"/>
    <w:rsid w:val="0084109C"/>
    <w:rsid w:val="00841937"/>
    <w:rsid w:val="00845F31"/>
    <w:rsid w:val="00847D42"/>
    <w:rsid w:val="008517A8"/>
    <w:rsid w:val="00852107"/>
    <w:rsid w:val="008554A2"/>
    <w:rsid w:val="008604D2"/>
    <w:rsid w:val="0086175C"/>
    <w:rsid w:val="0086233F"/>
    <w:rsid w:val="00862CB3"/>
    <w:rsid w:val="00864B9E"/>
    <w:rsid w:val="0087284D"/>
    <w:rsid w:val="008738EA"/>
    <w:rsid w:val="00877EA2"/>
    <w:rsid w:val="00881EF1"/>
    <w:rsid w:val="00882496"/>
    <w:rsid w:val="00883015"/>
    <w:rsid w:val="00883CDC"/>
    <w:rsid w:val="0088441A"/>
    <w:rsid w:val="00887DC9"/>
    <w:rsid w:val="008919AA"/>
    <w:rsid w:val="00893257"/>
    <w:rsid w:val="0089350E"/>
    <w:rsid w:val="00897615"/>
    <w:rsid w:val="00897A51"/>
    <w:rsid w:val="008A0D78"/>
    <w:rsid w:val="008A1BEE"/>
    <w:rsid w:val="008A2C7C"/>
    <w:rsid w:val="008A64BE"/>
    <w:rsid w:val="008B18C2"/>
    <w:rsid w:val="008B3BA1"/>
    <w:rsid w:val="008B47D8"/>
    <w:rsid w:val="008B4EEE"/>
    <w:rsid w:val="008B56C3"/>
    <w:rsid w:val="008B56D2"/>
    <w:rsid w:val="008B5B40"/>
    <w:rsid w:val="008C442A"/>
    <w:rsid w:val="008C6131"/>
    <w:rsid w:val="008C701E"/>
    <w:rsid w:val="008C7636"/>
    <w:rsid w:val="008D1AAD"/>
    <w:rsid w:val="008D2F40"/>
    <w:rsid w:val="008E0B3E"/>
    <w:rsid w:val="008E1050"/>
    <w:rsid w:val="008E155C"/>
    <w:rsid w:val="008E1AE2"/>
    <w:rsid w:val="008E285E"/>
    <w:rsid w:val="008E39C3"/>
    <w:rsid w:val="008E4F65"/>
    <w:rsid w:val="008E60CF"/>
    <w:rsid w:val="008F6CD8"/>
    <w:rsid w:val="008F6D9C"/>
    <w:rsid w:val="008F7658"/>
    <w:rsid w:val="008F7C3C"/>
    <w:rsid w:val="00902B64"/>
    <w:rsid w:val="00903D86"/>
    <w:rsid w:val="00904569"/>
    <w:rsid w:val="00904FD8"/>
    <w:rsid w:val="00911357"/>
    <w:rsid w:val="00912714"/>
    <w:rsid w:val="0091795A"/>
    <w:rsid w:val="00921C2D"/>
    <w:rsid w:val="00923197"/>
    <w:rsid w:val="0092384E"/>
    <w:rsid w:val="00924EDC"/>
    <w:rsid w:val="0092534E"/>
    <w:rsid w:val="00927D16"/>
    <w:rsid w:val="00931803"/>
    <w:rsid w:val="00932FD7"/>
    <w:rsid w:val="00941D8B"/>
    <w:rsid w:val="00941DAD"/>
    <w:rsid w:val="00943EC6"/>
    <w:rsid w:val="00946938"/>
    <w:rsid w:val="00952AD0"/>
    <w:rsid w:val="00956814"/>
    <w:rsid w:val="00960E5B"/>
    <w:rsid w:val="009610B5"/>
    <w:rsid w:val="00961A7A"/>
    <w:rsid w:val="00961ECE"/>
    <w:rsid w:val="00965AFD"/>
    <w:rsid w:val="0097052C"/>
    <w:rsid w:val="00973CB1"/>
    <w:rsid w:val="00974DA9"/>
    <w:rsid w:val="009818B7"/>
    <w:rsid w:val="00983F8D"/>
    <w:rsid w:val="00986387"/>
    <w:rsid w:val="00987997"/>
    <w:rsid w:val="009907E3"/>
    <w:rsid w:val="00990E1F"/>
    <w:rsid w:val="00992147"/>
    <w:rsid w:val="009929DE"/>
    <w:rsid w:val="00992A8C"/>
    <w:rsid w:val="00992E93"/>
    <w:rsid w:val="00995949"/>
    <w:rsid w:val="00996899"/>
    <w:rsid w:val="009A0A58"/>
    <w:rsid w:val="009A38BF"/>
    <w:rsid w:val="009A390E"/>
    <w:rsid w:val="009A4E17"/>
    <w:rsid w:val="009A6AA1"/>
    <w:rsid w:val="009A7CE1"/>
    <w:rsid w:val="009B1C67"/>
    <w:rsid w:val="009B3483"/>
    <w:rsid w:val="009B383F"/>
    <w:rsid w:val="009B416B"/>
    <w:rsid w:val="009B4D48"/>
    <w:rsid w:val="009B76D9"/>
    <w:rsid w:val="009C4AAC"/>
    <w:rsid w:val="009C4C39"/>
    <w:rsid w:val="009C50C4"/>
    <w:rsid w:val="009C5818"/>
    <w:rsid w:val="009D0840"/>
    <w:rsid w:val="009D2E55"/>
    <w:rsid w:val="009D34F3"/>
    <w:rsid w:val="009D451F"/>
    <w:rsid w:val="009E1A01"/>
    <w:rsid w:val="009E292B"/>
    <w:rsid w:val="009E40EE"/>
    <w:rsid w:val="009E5FEB"/>
    <w:rsid w:val="009F25CE"/>
    <w:rsid w:val="009F32DB"/>
    <w:rsid w:val="009F3BFA"/>
    <w:rsid w:val="009F73A8"/>
    <w:rsid w:val="009F774D"/>
    <w:rsid w:val="00A024C5"/>
    <w:rsid w:val="00A10D0E"/>
    <w:rsid w:val="00A17188"/>
    <w:rsid w:val="00A20E64"/>
    <w:rsid w:val="00A222B9"/>
    <w:rsid w:val="00A26CB1"/>
    <w:rsid w:val="00A27508"/>
    <w:rsid w:val="00A2777B"/>
    <w:rsid w:val="00A30051"/>
    <w:rsid w:val="00A3043A"/>
    <w:rsid w:val="00A3292C"/>
    <w:rsid w:val="00A32DE8"/>
    <w:rsid w:val="00A33048"/>
    <w:rsid w:val="00A335DC"/>
    <w:rsid w:val="00A35197"/>
    <w:rsid w:val="00A35509"/>
    <w:rsid w:val="00A37D78"/>
    <w:rsid w:val="00A40771"/>
    <w:rsid w:val="00A41812"/>
    <w:rsid w:val="00A429F7"/>
    <w:rsid w:val="00A43201"/>
    <w:rsid w:val="00A43868"/>
    <w:rsid w:val="00A4771A"/>
    <w:rsid w:val="00A51218"/>
    <w:rsid w:val="00A5159D"/>
    <w:rsid w:val="00A51E91"/>
    <w:rsid w:val="00A536BC"/>
    <w:rsid w:val="00A53E65"/>
    <w:rsid w:val="00A562C6"/>
    <w:rsid w:val="00A56386"/>
    <w:rsid w:val="00A56598"/>
    <w:rsid w:val="00A6117F"/>
    <w:rsid w:val="00A61F7B"/>
    <w:rsid w:val="00A62C72"/>
    <w:rsid w:val="00A651B2"/>
    <w:rsid w:val="00A710A3"/>
    <w:rsid w:val="00A7412A"/>
    <w:rsid w:val="00A74687"/>
    <w:rsid w:val="00A749FC"/>
    <w:rsid w:val="00A74A96"/>
    <w:rsid w:val="00A83D1D"/>
    <w:rsid w:val="00A85290"/>
    <w:rsid w:val="00A87100"/>
    <w:rsid w:val="00A87255"/>
    <w:rsid w:val="00A91C4B"/>
    <w:rsid w:val="00A92D53"/>
    <w:rsid w:val="00A933F5"/>
    <w:rsid w:val="00A94EBA"/>
    <w:rsid w:val="00A950AD"/>
    <w:rsid w:val="00A96D45"/>
    <w:rsid w:val="00A97C63"/>
    <w:rsid w:val="00AA6A78"/>
    <w:rsid w:val="00AB0A33"/>
    <w:rsid w:val="00AB3339"/>
    <w:rsid w:val="00AB4F6E"/>
    <w:rsid w:val="00AB5873"/>
    <w:rsid w:val="00AB692B"/>
    <w:rsid w:val="00AB7A60"/>
    <w:rsid w:val="00AB7F78"/>
    <w:rsid w:val="00AC121D"/>
    <w:rsid w:val="00AC463E"/>
    <w:rsid w:val="00AC4CC3"/>
    <w:rsid w:val="00AC65BF"/>
    <w:rsid w:val="00AC696D"/>
    <w:rsid w:val="00AD2867"/>
    <w:rsid w:val="00AD45E5"/>
    <w:rsid w:val="00AD46CC"/>
    <w:rsid w:val="00AD4C5F"/>
    <w:rsid w:val="00AD539E"/>
    <w:rsid w:val="00AD71B6"/>
    <w:rsid w:val="00AD71CE"/>
    <w:rsid w:val="00AD75F7"/>
    <w:rsid w:val="00AD7A5C"/>
    <w:rsid w:val="00AE499C"/>
    <w:rsid w:val="00AE7D74"/>
    <w:rsid w:val="00AF13C8"/>
    <w:rsid w:val="00AF1C00"/>
    <w:rsid w:val="00AF2977"/>
    <w:rsid w:val="00AF29E6"/>
    <w:rsid w:val="00B0445F"/>
    <w:rsid w:val="00B06C26"/>
    <w:rsid w:val="00B07B7D"/>
    <w:rsid w:val="00B11E79"/>
    <w:rsid w:val="00B11F64"/>
    <w:rsid w:val="00B12173"/>
    <w:rsid w:val="00B13F5F"/>
    <w:rsid w:val="00B14A7D"/>
    <w:rsid w:val="00B15968"/>
    <w:rsid w:val="00B22D2B"/>
    <w:rsid w:val="00B250A8"/>
    <w:rsid w:val="00B2556C"/>
    <w:rsid w:val="00B25F31"/>
    <w:rsid w:val="00B26CDF"/>
    <w:rsid w:val="00B31218"/>
    <w:rsid w:val="00B31C25"/>
    <w:rsid w:val="00B31C77"/>
    <w:rsid w:val="00B33255"/>
    <w:rsid w:val="00B3423A"/>
    <w:rsid w:val="00B34AF2"/>
    <w:rsid w:val="00B364EE"/>
    <w:rsid w:val="00B37D09"/>
    <w:rsid w:val="00B426BD"/>
    <w:rsid w:val="00B42A95"/>
    <w:rsid w:val="00B458DC"/>
    <w:rsid w:val="00B46E47"/>
    <w:rsid w:val="00B52258"/>
    <w:rsid w:val="00B52700"/>
    <w:rsid w:val="00B53B9B"/>
    <w:rsid w:val="00B53C2E"/>
    <w:rsid w:val="00B55B62"/>
    <w:rsid w:val="00B57196"/>
    <w:rsid w:val="00B60CA3"/>
    <w:rsid w:val="00B61484"/>
    <w:rsid w:val="00B6153C"/>
    <w:rsid w:val="00B62D10"/>
    <w:rsid w:val="00B647AA"/>
    <w:rsid w:val="00B6515E"/>
    <w:rsid w:val="00B6739A"/>
    <w:rsid w:val="00B6762F"/>
    <w:rsid w:val="00B700F5"/>
    <w:rsid w:val="00B76D31"/>
    <w:rsid w:val="00B773CD"/>
    <w:rsid w:val="00B7759D"/>
    <w:rsid w:val="00B80CE3"/>
    <w:rsid w:val="00B8318B"/>
    <w:rsid w:val="00B853AA"/>
    <w:rsid w:val="00B86986"/>
    <w:rsid w:val="00B86B7F"/>
    <w:rsid w:val="00B86C32"/>
    <w:rsid w:val="00B871E5"/>
    <w:rsid w:val="00B91C77"/>
    <w:rsid w:val="00B93BAC"/>
    <w:rsid w:val="00B941FF"/>
    <w:rsid w:val="00B97B00"/>
    <w:rsid w:val="00B97D2A"/>
    <w:rsid w:val="00BA3B90"/>
    <w:rsid w:val="00BA470C"/>
    <w:rsid w:val="00BA5552"/>
    <w:rsid w:val="00BA6A82"/>
    <w:rsid w:val="00BB2549"/>
    <w:rsid w:val="00BB4CB8"/>
    <w:rsid w:val="00BB5BE0"/>
    <w:rsid w:val="00BB68AB"/>
    <w:rsid w:val="00BB7EC6"/>
    <w:rsid w:val="00BC041B"/>
    <w:rsid w:val="00BC18F3"/>
    <w:rsid w:val="00BC5418"/>
    <w:rsid w:val="00BC6378"/>
    <w:rsid w:val="00BC695E"/>
    <w:rsid w:val="00BC6C27"/>
    <w:rsid w:val="00BC6F78"/>
    <w:rsid w:val="00BD0236"/>
    <w:rsid w:val="00BD0A59"/>
    <w:rsid w:val="00BD10BF"/>
    <w:rsid w:val="00BD1E00"/>
    <w:rsid w:val="00BD2254"/>
    <w:rsid w:val="00BD3CA0"/>
    <w:rsid w:val="00BD549B"/>
    <w:rsid w:val="00BE0716"/>
    <w:rsid w:val="00BE42C9"/>
    <w:rsid w:val="00BE5AD7"/>
    <w:rsid w:val="00BE64D7"/>
    <w:rsid w:val="00BE7A3D"/>
    <w:rsid w:val="00BF2080"/>
    <w:rsid w:val="00C03B39"/>
    <w:rsid w:val="00C05D68"/>
    <w:rsid w:val="00C07080"/>
    <w:rsid w:val="00C1038F"/>
    <w:rsid w:val="00C116BD"/>
    <w:rsid w:val="00C11970"/>
    <w:rsid w:val="00C12617"/>
    <w:rsid w:val="00C12DA9"/>
    <w:rsid w:val="00C13459"/>
    <w:rsid w:val="00C14ADC"/>
    <w:rsid w:val="00C157D1"/>
    <w:rsid w:val="00C16FE1"/>
    <w:rsid w:val="00C1720B"/>
    <w:rsid w:val="00C21866"/>
    <w:rsid w:val="00C238E1"/>
    <w:rsid w:val="00C24851"/>
    <w:rsid w:val="00C40BE1"/>
    <w:rsid w:val="00C41AF4"/>
    <w:rsid w:val="00C420E3"/>
    <w:rsid w:val="00C449B5"/>
    <w:rsid w:val="00C45F1B"/>
    <w:rsid w:val="00C47370"/>
    <w:rsid w:val="00C47A90"/>
    <w:rsid w:val="00C50363"/>
    <w:rsid w:val="00C52F8E"/>
    <w:rsid w:val="00C530A4"/>
    <w:rsid w:val="00C53E7A"/>
    <w:rsid w:val="00C54D8D"/>
    <w:rsid w:val="00C5711C"/>
    <w:rsid w:val="00C62706"/>
    <w:rsid w:val="00C71A1E"/>
    <w:rsid w:val="00C73DA4"/>
    <w:rsid w:val="00C8265D"/>
    <w:rsid w:val="00C82B81"/>
    <w:rsid w:val="00C834FC"/>
    <w:rsid w:val="00C835C2"/>
    <w:rsid w:val="00C8382C"/>
    <w:rsid w:val="00C9179C"/>
    <w:rsid w:val="00C92E0C"/>
    <w:rsid w:val="00C92E0D"/>
    <w:rsid w:val="00C939ED"/>
    <w:rsid w:val="00C93D5F"/>
    <w:rsid w:val="00C95029"/>
    <w:rsid w:val="00C97748"/>
    <w:rsid w:val="00CA0273"/>
    <w:rsid w:val="00CA5502"/>
    <w:rsid w:val="00CA61D5"/>
    <w:rsid w:val="00CA78F1"/>
    <w:rsid w:val="00CB0331"/>
    <w:rsid w:val="00CB1FB9"/>
    <w:rsid w:val="00CB3C62"/>
    <w:rsid w:val="00CB7BA9"/>
    <w:rsid w:val="00CC0B43"/>
    <w:rsid w:val="00CC1A2C"/>
    <w:rsid w:val="00CC2B66"/>
    <w:rsid w:val="00CC304D"/>
    <w:rsid w:val="00CC3BFE"/>
    <w:rsid w:val="00CD0A97"/>
    <w:rsid w:val="00CD10B3"/>
    <w:rsid w:val="00CD3A74"/>
    <w:rsid w:val="00CD48EC"/>
    <w:rsid w:val="00CD50DD"/>
    <w:rsid w:val="00CD5CB1"/>
    <w:rsid w:val="00CE386F"/>
    <w:rsid w:val="00CE6DF8"/>
    <w:rsid w:val="00CE75CA"/>
    <w:rsid w:val="00CF5662"/>
    <w:rsid w:val="00CF7A48"/>
    <w:rsid w:val="00D0117F"/>
    <w:rsid w:val="00D02565"/>
    <w:rsid w:val="00D029B6"/>
    <w:rsid w:val="00D04241"/>
    <w:rsid w:val="00D046DA"/>
    <w:rsid w:val="00D0547E"/>
    <w:rsid w:val="00D05C0B"/>
    <w:rsid w:val="00D05E1F"/>
    <w:rsid w:val="00D069CB"/>
    <w:rsid w:val="00D10182"/>
    <w:rsid w:val="00D14335"/>
    <w:rsid w:val="00D14738"/>
    <w:rsid w:val="00D163C6"/>
    <w:rsid w:val="00D16A03"/>
    <w:rsid w:val="00D16E52"/>
    <w:rsid w:val="00D20EE5"/>
    <w:rsid w:val="00D224AD"/>
    <w:rsid w:val="00D22606"/>
    <w:rsid w:val="00D26E6E"/>
    <w:rsid w:val="00D275B3"/>
    <w:rsid w:val="00D3041C"/>
    <w:rsid w:val="00D32A7A"/>
    <w:rsid w:val="00D33041"/>
    <w:rsid w:val="00D35396"/>
    <w:rsid w:val="00D3541A"/>
    <w:rsid w:val="00D424CC"/>
    <w:rsid w:val="00D4287A"/>
    <w:rsid w:val="00D43607"/>
    <w:rsid w:val="00D5165C"/>
    <w:rsid w:val="00D52891"/>
    <w:rsid w:val="00D53212"/>
    <w:rsid w:val="00D53BF7"/>
    <w:rsid w:val="00D53D49"/>
    <w:rsid w:val="00D55581"/>
    <w:rsid w:val="00D55F73"/>
    <w:rsid w:val="00D605B0"/>
    <w:rsid w:val="00D61246"/>
    <w:rsid w:val="00D61477"/>
    <w:rsid w:val="00D6543A"/>
    <w:rsid w:val="00D7038F"/>
    <w:rsid w:val="00D7088A"/>
    <w:rsid w:val="00D7164E"/>
    <w:rsid w:val="00D73C89"/>
    <w:rsid w:val="00D75099"/>
    <w:rsid w:val="00D81102"/>
    <w:rsid w:val="00D83CE4"/>
    <w:rsid w:val="00D843B9"/>
    <w:rsid w:val="00D8462B"/>
    <w:rsid w:val="00D9096F"/>
    <w:rsid w:val="00D9117B"/>
    <w:rsid w:val="00D91E09"/>
    <w:rsid w:val="00D92D2D"/>
    <w:rsid w:val="00D93C73"/>
    <w:rsid w:val="00D942C9"/>
    <w:rsid w:val="00D94D38"/>
    <w:rsid w:val="00D95CC0"/>
    <w:rsid w:val="00D973E9"/>
    <w:rsid w:val="00DA1332"/>
    <w:rsid w:val="00DA3B68"/>
    <w:rsid w:val="00DA4C5E"/>
    <w:rsid w:val="00DB0BCA"/>
    <w:rsid w:val="00DB2316"/>
    <w:rsid w:val="00DB36E4"/>
    <w:rsid w:val="00DB3DE2"/>
    <w:rsid w:val="00DB6B76"/>
    <w:rsid w:val="00DC2ACD"/>
    <w:rsid w:val="00DC38B2"/>
    <w:rsid w:val="00DC4901"/>
    <w:rsid w:val="00DC49A1"/>
    <w:rsid w:val="00DC61F3"/>
    <w:rsid w:val="00DD0C6B"/>
    <w:rsid w:val="00DD174F"/>
    <w:rsid w:val="00DD213F"/>
    <w:rsid w:val="00DD2B11"/>
    <w:rsid w:val="00DD2B71"/>
    <w:rsid w:val="00DD2FD2"/>
    <w:rsid w:val="00DD373D"/>
    <w:rsid w:val="00DD75C0"/>
    <w:rsid w:val="00DE0B9E"/>
    <w:rsid w:val="00DE4132"/>
    <w:rsid w:val="00DE4F99"/>
    <w:rsid w:val="00DF0177"/>
    <w:rsid w:val="00DF1B60"/>
    <w:rsid w:val="00DF753E"/>
    <w:rsid w:val="00DF7C87"/>
    <w:rsid w:val="00DF7FA3"/>
    <w:rsid w:val="00E001A8"/>
    <w:rsid w:val="00E00848"/>
    <w:rsid w:val="00E02A55"/>
    <w:rsid w:val="00E02CA9"/>
    <w:rsid w:val="00E02E3F"/>
    <w:rsid w:val="00E04A26"/>
    <w:rsid w:val="00E0609C"/>
    <w:rsid w:val="00E07579"/>
    <w:rsid w:val="00E07BFC"/>
    <w:rsid w:val="00E11C9F"/>
    <w:rsid w:val="00E13034"/>
    <w:rsid w:val="00E134B1"/>
    <w:rsid w:val="00E135DA"/>
    <w:rsid w:val="00E14AC2"/>
    <w:rsid w:val="00E15160"/>
    <w:rsid w:val="00E167B4"/>
    <w:rsid w:val="00E175E5"/>
    <w:rsid w:val="00E207BB"/>
    <w:rsid w:val="00E20D5B"/>
    <w:rsid w:val="00E2115C"/>
    <w:rsid w:val="00E21578"/>
    <w:rsid w:val="00E21899"/>
    <w:rsid w:val="00E21C9D"/>
    <w:rsid w:val="00E224FF"/>
    <w:rsid w:val="00E23D27"/>
    <w:rsid w:val="00E24912"/>
    <w:rsid w:val="00E25375"/>
    <w:rsid w:val="00E25CD1"/>
    <w:rsid w:val="00E300BD"/>
    <w:rsid w:val="00E308C2"/>
    <w:rsid w:val="00E3220A"/>
    <w:rsid w:val="00E34000"/>
    <w:rsid w:val="00E36719"/>
    <w:rsid w:val="00E37061"/>
    <w:rsid w:val="00E402B3"/>
    <w:rsid w:val="00E40611"/>
    <w:rsid w:val="00E40833"/>
    <w:rsid w:val="00E42378"/>
    <w:rsid w:val="00E42D92"/>
    <w:rsid w:val="00E4394A"/>
    <w:rsid w:val="00E43BD5"/>
    <w:rsid w:val="00E4503F"/>
    <w:rsid w:val="00E462BC"/>
    <w:rsid w:val="00E4642C"/>
    <w:rsid w:val="00E47CAB"/>
    <w:rsid w:val="00E503A4"/>
    <w:rsid w:val="00E51502"/>
    <w:rsid w:val="00E5595F"/>
    <w:rsid w:val="00E56D8B"/>
    <w:rsid w:val="00E60A46"/>
    <w:rsid w:val="00E60FC6"/>
    <w:rsid w:val="00E612B8"/>
    <w:rsid w:val="00E64028"/>
    <w:rsid w:val="00E66A11"/>
    <w:rsid w:val="00E70E7D"/>
    <w:rsid w:val="00E7211F"/>
    <w:rsid w:val="00E74477"/>
    <w:rsid w:val="00E74DF9"/>
    <w:rsid w:val="00E75E48"/>
    <w:rsid w:val="00E85446"/>
    <w:rsid w:val="00E86358"/>
    <w:rsid w:val="00E86542"/>
    <w:rsid w:val="00E91E0D"/>
    <w:rsid w:val="00E91EAA"/>
    <w:rsid w:val="00E9233F"/>
    <w:rsid w:val="00E93BA5"/>
    <w:rsid w:val="00E9591B"/>
    <w:rsid w:val="00E97AF7"/>
    <w:rsid w:val="00EA1E0A"/>
    <w:rsid w:val="00EA5D20"/>
    <w:rsid w:val="00EA73FF"/>
    <w:rsid w:val="00EA79EF"/>
    <w:rsid w:val="00EB061C"/>
    <w:rsid w:val="00EB0FF2"/>
    <w:rsid w:val="00EB152B"/>
    <w:rsid w:val="00EB4511"/>
    <w:rsid w:val="00EB4BE9"/>
    <w:rsid w:val="00EB5B10"/>
    <w:rsid w:val="00EB6D90"/>
    <w:rsid w:val="00EC0860"/>
    <w:rsid w:val="00EC08F4"/>
    <w:rsid w:val="00EC186E"/>
    <w:rsid w:val="00EC65E4"/>
    <w:rsid w:val="00ED03A7"/>
    <w:rsid w:val="00ED1C2E"/>
    <w:rsid w:val="00ED296F"/>
    <w:rsid w:val="00ED2EB6"/>
    <w:rsid w:val="00ED5469"/>
    <w:rsid w:val="00ED6E14"/>
    <w:rsid w:val="00ED722A"/>
    <w:rsid w:val="00EE1503"/>
    <w:rsid w:val="00EE163F"/>
    <w:rsid w:val="00EE24C2"/>
    <w:rsid w:val="00EE2AE5"/>
    <w:rsid w:val="00EE6AE9"/>
    <w:rsid w:val="00EE7AF3"/>
    <w:rsid w:val="00EF0173"/>
    <w:rsid w:val="00EF0E7A"/>
    <w:rsid w:val="00EF49A9"/>
    <w:rsid w:val="00EF49EE"/>
    <w:rsid w:val="00EF5543"/>
    <w:rsid w:val="00EF70FE"/>
    <w:rsid w:val="00F00167"/>
    <w:rsid w:val="00F01A07"/>
    <w:rsid w:val="00F03686"/>
    <w:rsid w:val="00F060BD"/>
    <w:rsid w:val="00F1191B"/>
    <w:rsid w:val="00F124C6"/>
    <w:rsid w:val="00F12EEA"/>
    <w:rsid w:val="00F16C30"/>
    <w:rsid w:val="00F173B4"/>
    <w:rsid w:val="00F17668"/>
    <w:rsid w:val="00F20A5B"/>
    <w:rsid w:val="00F2116B"/>
    <w:rsid w:val="00F21F8E"/>
    <w:rsid w:val="00F232DC"/>
    <w:rsid w:val="00F23F92"/>
    <w:rsid w:val="00F26311"/>
    <w:rsid w:val="00F26644"/>
    <w:rsid w:val="00F27D96"/>
    <w:rsid w:val="00F31F4E"/>
    <w:rsid w:val="00F32344"/>
    <w:rsid w:val="00F3624E"/>
    <w:rsid w:val="00F36482"/>
    <w:rsid w:val="00F422C7"/>
    <w:rsid w:val="00F4712D"/>
    <w:rsid w:val="00F478B9"/>
    <w:rsid w:val="00F5198C"/>
    <w:rsid w:val="00F55E24"/>
    <w:rsid w:val="00F56534"/>
    <w:rsid w:val="00F57598"/>
    <w:rsid w:val="00F61096"/>
    <w:rsid w:val="00F61630"/>
    <w:rsid w:val="00F616DD"/>
    <w:rsid w:val="00F61798"/>
    <w:rsid w:val="00F640F8"/>
    <w:rsid w:val="00F65959"/>
    <w:rsid w:val="00F72C89"/>
    <w:rsid w:val="00F76DE8"/>
    <w:rsid w:val="00F77917"/>
    <w:rsid w:val="00F77D30"/>
    <w:rsid w:val="00F814F5"/>
    <w:rsid w:val="00F822FC"/>
    <w:rsid w:val="00F830AC"/>
    <w:rsid w:val="00F851CA"/>
    <w:rsid w:val="00F86F8A"/>
    <w:rsid w:val="00F91B76"/>
    <w:rsid w:val="00F9598C"/>
    <w:rsid w:val="00F95C12"/>
    <w:rsid w:val="00F96D6D"/>
    <w:rsid w:val="00F9743A"/>
    <w:rsid w:val="00F97ABF"/>
    <w:rsid w:val="00FA1C07"/>
    <w:rsid w:val="00FA1C5F"/>
    <w:rsid w:val="00FA2F96"/>
    <w:rsid w:val="00FA6323"/>
    <w:rsid w:val="00FB19EB"/>
    <w:rsid w:val="00FB1E5B"/>
    <w:rsid w:val="00FB2AED"/>
    <w:rsid w:val="00FB3E1F"/>
    <w:rsid w:val="00FB65CF"/>
    <w:rsid w:val="00FC0EDA"/>
    <w:rsid w:val="00FC29B4"/>
    <w:rsid w:val="00FC2BA7"/>
    <w:rsid w:val="00FC36F9"/>
    <w:rsid w:val="00FC51A2"/>
    <w:rsid w:val="00FD4763"/>
    <w:rsid w:val="00FD5104"/>
    <w:rsid w:val="00FD51BD"/>
    <w:rsid w:val="00FD5B1B"/>
    <w:rsid w:val="00FD6B44"/>
    <w:rsid w:val="00FE1F6B"/>
    <w:rsid w:val="00FE4015"/>
    <w:rsid w:val="00FE5FD8"/>
    <w:rsid w:val="00FE754A"/>
    <w:rsid w:val="00FF408D"/>
    <w:rsid w:val="00FF4627"/>
    <w:rsid w:val="00FF5A04"/>
    <w:rsid w:val="00FF6385"/>
    <w:rsid w:val="00FF7108"/>
    <w:rsid w:val="00FF7CEB"/>
    <w:rsid w:val="011E346D"/>
    <w:rsid w:val="01731402"/>
    <w:rsid w:val="0180108E"/>
    <w:rsid w:val="01F250CD"/>
    <w:rsid w:val="01F53399"/>
    <w:rsid w:val="01F72F12"/>
    <w:rsid w:val="01F81200"/>
    <w:rsid w:val="01F91CDA"/>
    <w:rsid w:val="0258024D"/>
    <w:rsid w:val="029A1B3E"/>
    <w:rsid w:val="03075770"/>
    <w:rsid w:val="030F10D5"/>
    <w:rsid w:val="032A5989"/>
    <w:rsid w:val="03AA0BE0"/>
    <w:rsid w:val="03AB736A"/>
    <w:rsid w:val="03DB240E"/>
    <w:rsid w:val="03F60FF6"/>
    <w:rsid w:val="03F70497"/>
    <w:rsid w:val="03F8088F"/>
    <w:rsid w:val="04043713"/>
    <w:rsid w:val="040639B4"/>
    <w:rsid w:val="040D2A67"/>
    <w:rsid w:val="046709E8"/>
    <w:rsid w:val="0470540F"/>
    <w:rsid w:val="0493426A"/>
    <w:rsid w:val="04AF39F3"/>
    <w:rsid w:val="04B10BEF"/>
    <w:rsid w:val="04B14D4F"/>
    <w:rsid w:val="04B85333"/>
    <w:rsid w:val="04BA1734"/>
    <w:rsid w:val="04C078A2"/>
    <w:rsid w:val="04DA3864"/>
    <w:rsid w:val="05170965"/>
    <w:rsid w:val="05173A13"/>
    <w:rsid w:val="052208C9"/>
    <w:rsid w:val="05345ECE"/>
    <w:rsid w:val="053B1129"/>
    <w:rsid w:val="05456C9A"/>
    <w:rsid w:val="056B0BD0"/>
    <w:rsid w:val="05820F78"/>
    <w:rsid w:val="05AC2A07"/>
    <w:rsid w:val="05CB200E"/>
    <w:rsid w:val="05DC4707"/>
    <w:rsid w:val="05EA4AB5"/>
    <w:rsid w:val="05EE02F6"/>
    <w:rsid w:val="063472A0"/>
    <w:rsid w:val="06366CCE"/>
    <w:rsid w:val="06466166"/>
    <w:rsid w:val="06607520"/>
    <w:rsid w:val="066F4F96"/>
    <w:rsid w:val="067778EA"/>
    <w:rsid w:val="06931E36"/>
    <w:rsid w:val="06D23C2B"/>
    <w:rsid w:val="06EC43F2"/>
    <w:rsid w:val="06FB4A69"/>
    <w:rsid w:val="0743786F"/>
    <w:rsid w:val="07763A55"/>
    <w:rsid w:val="07903C06"/>
    <w:rsid w:val="07AA53D9"/>
    <w:rsid w:val="07BF6950"/>
    <w:rsid w:val="07D94EB6"/>
    <w:rsid w:val="07F87836"/>
    <w:rsid w:val="08071A24"/>
    <w:rsid w:val="081157EB"/>
    <w:rsid w:val="083B74F7"/>
    <w:rsid w:val="085D05BD"/>
    <w:rsid w:val="08B268C6"/>
    <w:rsid w:val="08C17560"/>
    <w:rsid w:val="08CA5DD7"/>
    <w:rsid w:val="09173EE8"/>
    <w:rsid w:val="09411CB2"/>
    <w:rsid w:val="09434FE9"/>
    <w:rsid w:val="096A7D04"/>
    <w:rsid w:val="097F13F8"/>
    <w:rsid w:val="09955041"/>
    <w:rsid w:val="099D049C"/>
    <w:rsid w:val="09D90ACA"/>
    <w:rsid w:val="09E0077E"/>
    <w:rsid w:val="09E403D7"/>
    <w:rsid w:val="0A036A5E"/>
    <w:rsid w:val="0A3B46CB"/>
    <w:rsid w:val="0A675C15"/>
    <w:rsid w:val="0AD57CD6"/>
    <w:rsid w:val="0AE00668"/>
    <w:rsid w:val="0AEB4BB9"/>
    <w:rsid w:val="0B5231C3"/>
    <w:rsid w:val="0B5F1B77"/>
    <w:rsid w:val="0B7C5079"/>
    <w:rsid w:val="0BA01961"/>
    <w:rsid w:val="0BA159B5"/>
    <w:rsid w:val="0BB579E9"/>
    <w:rsid w:val="0BC0075F"/>
    <w:rsid w:val="0BD52E62"/>
    <w:rsid w:val="0BEE5B81"/>
    <w:rsid w:val="0BF37C7C"/>
    <w:rsid w:val="0C064B76"/>
    <w:rsid w:val="0C2A1D8E"/>
    <w:rsid w:val="0C3A2AF2"/>
    <w:rsid w:val="0C7170D1"/>
    <w:rsid w:val="0C9B717B"/>
    <w:rsid w:val="0CA06F83"/>
    <w:rsid w:val="0CB13797"/>
    <w:rsid w:val="0CB22A2B"/>
    <w:rsid w:val="0CBE7683"/>
    <w:rsid w:val="0CDE58EF"/>
    <w:rsid w:val="0D5316AC"/>
    <w:rsid w:val="0D5E5FE6"/>
    <w:rsid w:val="0D635FF7"/>
    <w:rsid w:val="0D725F37"/>
    <w:rsid w:val="0D75742F"/>
    <w:rsid w:val="0D8576F3"/>
    <w:rsid w:val="0D8B4148"/>
    <w:rsid w:val="0DA12F81"/>
    <w:rsid w:val="0DBD797A"/>
    <w:rsid w:val="0DDF3D83"/>
    <w:rsid w:val="0DDF5CDC"/>
    <w:rsid w:val="0E196493"/>
    <w:rsid w:val="0E1B7221"/>
    <w:rsid w:val="0E223DE2"/>
    <w:rsid w:val="0E252C04"/>
    <w:rsid w:val="0E274E13"/>
    <w:rsid w:val="0E3B006B"/>
    <w:rsid w:val="0E412FEC"/>
    <w:rsid w:val="0E4D4030"/>
    <w:rsid w:val="0E5D5DD3"/>
    <w:rsid w:val="0E9376F3"/>
    <w:rsid w:val="0EA91B3E"/>
    <w:rsid w:val="0EAB7D77"/>
    <w:rsid w:val="0EE52748"/>
    <w:rsid w:val="0EE75B6D"/>
    <w:rsid w:val="0F171076"/>
    <w:rsid w:val="0F21265A"/>
    <w:rsid w:val="0F2E5056"/>
    <w:rsid w:val="0F33079A"/>
    <w:rsid w:val="0F395EBE"/>
    <w:rsid w:val="0F463928"/>
    <w:rsid w:val="0F504AF6"/>
    <w:rsid w:val="0F727DC8"/>
    <w:rsid w:val="0F7747DF"/>
    <w:rsid w:val="0F9738FC"/>
    <w:rsid w:val="0FE913D9"/>
    <w:rsid w:val="0FFA2BBF"/>
    <w:rsid w:val="10057F8B"/>
    <w:rsid w:val="100A3E9B"/>
    <w:rsid w:val="100F12CF"/>
    <w:rsid w:val="103642D7"/>
    <w:rsid w:val="10437683"/>
    <w:rsid w:val="1052689C"/>
    <w:rsid w:val="10A452E1"/>
    <w:rsid w:val="10C150F5"/>
    <w:rsid w:val="10DC614E"/>
    <w:rsid w:val="10EB0305"/>
    <w:rsid w:val="11133BB7"/>
    <w:rsid w:val="114E1153"/>
    <w:rsid w:val="11980611"/>
    <w:rsid w:val="1199319C"/>
    <w:rsid w:val="119D1D03"/>
    <w:rsid w:val="11A2148A"/>
    <w:rsid w:val="11B7490F"/>
    <w:rsid w:val="11D56080"/>
    <w:rsid w:val="11F76B48"/>
    <w:rsid w:val="120075E4"/>
    <w:rsid w:val="1220603B"/>
    <w:rsid w:val="12353631"/>
    <w:rsid w:val="12536B81"/>
    <w:rsid w:val="125D5462"/>
    <w:rsid w:val="12972398"/>
    <w:rsid w:val="129F700C"/>
    <w:rsid w:val="12AF1FCF"/>
    <w:rsid w:val="12BB58E4"/>
    <w:rsid w:val="12F36158"/>
    <w:rsid w:val="13176C6E"/>
    <w:rsid w:val="131D05EB"/>
    <w:rsid w:val="132000A2"/>
    <w:rsid w:val="133C0A88"/>
    <w:rsid w:val="137C6CD5"/>
    <w:rsid w:val="13961F3D"/>
    <w:rsid w:val="14131750"/>
    <w:rsid w:val="145B0C97"/>
    <w:rsid w:val="14641FAC"/>
    <w:rsid w:val="14BB6070"/>
    <w:rsid w:val="14CC7FCE"/>
    <w:rsid w:val="14CE530F"/>
    <w:rsid w:val="14E3406C"/>
    <w:rsid w:val="14E3779D"/>
    <w:rsid w:val="15284597"/>
    <w:rsid w:val="15B8435D"/>
    <w:rsid w:val="15C04C96"/>
    <w:rsid w:val="15D140C8"/>
    <w:rsid w:val="1604217F"/>
    <w:rsid w:val="16124378"/>
    <w:rsid w:val="16486C17"/>
    <w:rsid w:val="164E081E"/>
    <w:rsid w:val="16947887"/>
    <w:rsid w:val="1695469E"/>
    <w:rsid w:val="16A30A60"/>
    <w:rsid w:val="16A67C78"/>
    <w:rsid w:val="16C27A09"/>
    <w:rsid w:val="16CC6F94"/>
    <w:rsid w:val="16CD7890"/>
    <w:rsid w:val="16CE77EE"/>
    <w:rsid w:val="16DA47C1"/>
    <w:rsid w:val="16DB2F95"/>
    <w:rsid w:val="16DE2C88"/>
    <w:rsid w:val="16F70EA0"/>
    <w:rsid w:val="170011BB"/>
    <w:rsid w:val="17175275"/>
    <w:rsid w:val="171F0881"/>
    <w:rsid w:val="172070CA"/>
    <w:rsid w:val="175D16A0"/>
    <w:rsid w:val="176C371E"/>
    <w:rsid w:val="17854F36"/>
    <w:rsid w:val="178F2297"/>
    <w:rsid w:val="179B33F6"/>
    <w:rsid w:val="17AC2915"/>
    <w:rsid w:val="17BB32E2"/>
    <w:rsid w:val="17C46B42"/>
    <w:rsid w:val="17D0335A"/>
    <w:rsid w:val="17EE3B50"/>
    <w:rsid w:val="180472CB"/>
    <w:rsid w:val="180871A6"/>
    <w:rsid w:val="182371A1"/>
    <w:rsid w:val="18294323"/>
    <w:rsid w:val="1832299C"/>
    <w:rsid w:val="18442348"/>
    <w:rsid w:val="18457D67"/>
    <w:rsid w:val="18496E39"/>
    <w:rsid w:val="18504D21"/>
    <w:rsid w:val="18970B94"/>
    <w:rsid w:val="18CB6CAE"/>
    <w:rsid w:val="18D70F9E"/>
    <w:rsid w:val="18E66EC7"/>
    <w:rsid w:val="192E1224"/>
    <w:rsid w:val="19472DC2"/>
    <w:rsid w:val="19750B7B"/>
    <w:rsid w:val="199363C3"/>
    <w:rsid w:val="19A16AD5"/>
    <w:rsid w:val="19A653F9"/>
    <w:rsid w:val="19CF2BA6"/>
    <w:rsid w:val="1A03783A"/>
    <w:rsid w:val="1A20732C"/>
    <w:rsid w:val="1A506254"/>
    <w:rsid w:val="1A6735C1"/>
    <w:rsid w:val="1AA826DE"/>
    <w:rsid w:val="1ABD5614"/>
    <w:rsid w:val="1AD62ECB"/>
    <w:rsid w:val="1ADD6614"/>
    <w:rsid w:val="1AEA2A73"/>
    <w:rsid w:val="1B193AF0"/>
    <w:rsid w:val="1B1F4013"/>
    <w:rsid w:val="1B776AF6"/>
    <w:rsid w:val="1B8B42C2"/>
    <w:rsid w:val="1BF64570"/>
    <w:rsid w:val="1C000616"/>
    <w:rsid w:val="1C141144"/>
    <w:rsid w:val="1C2A286A"/>
    <w:rsid w:val="1C735FB3"/>
    <w:rsid w:val="1C775FD1"/>
    <w:rsid w:val="1C797F7B"/>
    <w:rsid w:val="1C917CF5"/>
    <w:rsid w:val="1C992AB8"/>
    <w:rsid w:val="1C9E45AC"/>
    <w:rsid w:val="1CAD67E9"/>
    <w:rsid w:val="1CB85D19"/>
    <w:rsid w:val="1CBA24CB"/>
    <w:rsid w:val="1CC73088"/>
    <w:rsid w:val="1CE41EDC"/>
    <w:rsid w:val="1D126599"/>
    <w:rsid w:val="1D144348"/>
    <w:rsid w:val="1D3060FD"/>
    <w:rsid w:val="1D343F3F"/>
    <w:rsid w:val="1D415F94"/>
    <w:rsid w:val="1D4E4585"/>
    <w:rsid w:val="1DB14FD3"/>
    <w:rsid w:val="1DCD0C21"/>
    <w:rsid w:val="1DCF6AB7"/>
    <w:rsid w:val="1DEE1137"/>
    <w:rsid w:val="1DF1356A"/>
    <w:rsid w:val="1DF4190D"/>
    <w:rsid w:val="1E112D87"/>
    <w:rsid w:val="1E1D53B1"/>
    <w:rsid w:val="1E2C62F7"/>
    <w:rsid w:val="1E2D6CCE"/>
    <w:rsid w:val="1E6868AF"/>
    <w:rsid w:val="1E9171AB"/>
    <w:rsid w:val="1E9C5706"/>
    <w:rsid w:val="1EA62906"/>
    <w:rsid w:val="1EA92B20"/>
    <w:rsid w:val="1EBE5968"/>
    <w:rsid w:val="1EF3424A"/>
    <w:rsid w:val="1F4B0B93"/>
    <w:rsid w:val="1F506D21"/>
    <w:rsid w:val="1F953A7D"/>
    <w:rsid w:val="1FA00F50"/>
    <w:rsid w:val="1FC20389"/>
    <w:rsid w:val="201329F2"/>
    <w:rsid w:val="205D1571"/>
    <w:rsid w:val="208C08C0"/>
    <w:rsid w:val="20D50243"/>
    <w:rsid w:val="20F052F3"/>
    <w:rsid w:val="20FF20E1"/>
    <w:rsid w:val="21076A26"/>
    <w:rsid w:val="210F7F7D"/>
    <w:rsid w:val="2115105B"/>
    <w:rsid w:val="211767C6"/>
    <w:rsid w:val="2127680C"/>
    <w:rsid w:val="21684E57"/>
    <w:rsid w:val="21A97250"/>
    <w:rsid w:val="21DE3491"/>
    <w:rsid w:val="21FC65AC"/>
    <w:rsid w:val="221C34D9"/>
    <w:rsid w:val="222655B9"/>
    <w:rsid w:val="2237664A"/>
    <w:rsid w:val="225A3E51"/>
    <w:rsid w:val="2262539F"/>
    <w:rsid w:val="22733BBE"/>
    <w:rsid w:val="23241A62"/>
    <w:rsid w:val="234930A5"/>
    <w:rsid w:val="23555D96"/>
    <w:rsid w:val="23732C22"/>
    <w:rsid w:val="23A9194B"/>
    <w:rsid w:val="23DC4F41"/>
    <w:rsid w:val="240379CB"/>
    <w:rsid w:val="241338D2"/>
    <w:rsid w:val="241E5303"/>
    <w:rsid w:val="24363BFB"/>
    <w:rsid w:val="244C1F3D"/>
    <w:rsid w:val="247C59C1"/>
    <w:rsid w:val="24960BC8"/>
    <w:rsid w:val="24CA298C"/>
    <w:rsid w:val="24E41A3C"/>
    <w:rsid w:val="251246D4"/>
    <w:rsid w:val="256B2B06"/>
    <w:rsid w:val="25897AC4"/>
    <w:rsid w:val="259B4E46"/>
    <w:rsid w:val="25CA04AA"/>
    <w:rsid w:val="25D86356"/>
    <w:rsid w:val="25FC7F6A"/>
    <w:rsid w:val="25FF26E5"/>
    <w:rsid w:val="265B26F6"/>
    <w:rsid w:val="26B72AC3"/>
    <w:rsid w:val="26C64400"/>
    <w:rsid w:val="26EF6013"/>
    <w:rsid w:val="26F00E0F"/>
    <w:rsid w:val="26FD0ADC"/>
    <w:rsid w:val="2715727E"/>
    <w:rsid w:val="27397BBE"/>
    <w:rsid w:val="273A3497"/>
    <w:rsid w:val="27685286"/>
    <w:rsid w:val="277F2059"/>
    <w:rsid w:val="279263ED"/>
    <w:rsid w:val="27935F2B"/>
    <w:rsid w:val="27AE5DB0"/>
    <w:rsid w:val="27BF5596"/>
    <w:rsid w:val="27C846FC"/>
    <w:rsid w:val="28055271"/>
    <w:rsid w:val="285E643A"/>
    <w:rsid w:val="286001B0"/>
    <w:rsid w:val="287B5477"/>
    <w:rsid w:val="28966FF2"/>
    <w:rsid w:val="289E28EC"/>
    <w:rsid w:val="28A2379F"/>
    <w:rsid w:val="28A3095A"/>
    <w:rsid w:val="28DF32C2"/>
    <w:rsid w:val="28EB1199"/>
    <w:rsid w:val="29113353"/>
    <w:rsid w:val="292518B2"/>
    <w:rsid w:val="29441BCD"/>
    <w:rsid w:val="29456C0F"/>
    <w:rsid w:val="294B1D94"/>
    <w:rsid w:val="29763738"/>
    <w:rsid w:val="298B24A4"/>
    <w:rsid w:val="29A15157"/>
    <w:rsid w:val="29B2144F"/>
    <w:rsid w:val="29B646B7"/>
    <w:rsid w:val="29C65A4E"/>
    <w:rsid w:val="29C97750"/>
    <w:rsid w:val="29E66BB2"/>
    <w:rsid w:val="2A0833C4"/>
    <w:rsid w:val="2A24600D"/>
    <w:rsid w:val="2A2E2D77"/>
    <w:rsid w:val="2A3049B2"/>
    <w:rsid w:val="2A6C4B8F"/>
    <w:rsid w:val="2A997C0F"/>
    <w:rsid w:val="2AB3746E"/>
    <w:rsid w:val="2AF14025"/>
    <w:rsid w:val="2AFF74AE"/>
    <w:rsid w:val="2B01120D"/>
    <w:rsid w:val="2B4933F3"/>
    <w:rsid w:val="2B9B0C5F"/>
    <w:rsid w:val="2B9D3C53"/>
    <w:rsid w:val="2C01121B"/>
    <w:rsid w:val="2C1210B6"/>
    <w:rsid w:val="2C6F44BB"/>
    <w:rsid w:val="2C765449"/>
    <w:rsid w:val="2C8A4FDF"/>
    <w:rsid w:val="2C976E91"/>
    <w:rsid w:val="2CC96EB6"/>
    <w:rsid w:val="2CF95018"/>
    <w:rsid w:val="2D0825FA"/>
    <w:rsid w:val="2D3B5B48"/>
    <w:rsid w:val="2D414187"/>
    <w:rsid w:val="2D606DA9"/>
    <w:rsid w:val="2D7352E2"/>
    <w:rsid w:val="2D7F230D"/>
    <w:rsid w:val="2D89725D"/>
    <w:rsid w:val="2D962916"/>
    <w:rsid w:val="2D99157D"/>
    <w:rsid w:val="2D9D235F"/>
    <w:rsid w:val="2DDB4C35"/>
    <w:rsid w:val="2DEB4EE5"/>
    <w:rsid w:val="2E0A4140"/>
    <w:rsid w:val="2E4647A4"/>
    <w:rsid w:val="2E4D18C1"/>
    <w:rsid w:val="2EA8563C"/>
    <w:rsid w:val="2ED606C8"/>
    <w:rsid w:val="2EE854F4"/>
    <w:rsid w:val="2EEC0C48"/>
    <w:rsid w:val="2EFF4DD9"/>
    <w:rsid w:val="2F15195C"/>
    <w:rsid w:val="2F437BDB"/>
    <w:rsid w:val="2F5372CA"/>
    <w:rsid w:val="2F5D78C9"/>
    <w:rsid w:val="2F6B33BA"/>
    <w:rsid w:val="2F850B6B"/>
    <w:rsid w:val="2F8A5F30"/>
    <w:rsid w:val="2FDD3F2B"/>
    <w:rsid w:val="2FDD459C"/>
    <w:rsid w:val="2FDD5F43"/>
    <w:rsid w:val="2FE21B01"/>
    <w:rsid w:val="302A1429"/>
    <w:rsid w:val="302D510E"/>
    <w:rsid w:val="303652A5"/>
    <w:rsid w:val="304314F0"/>
    <w:rsid w:val="304D3575"/>
    <w:rsid w:val="306B63EF"/>
    <w:rsid w:val="30A63D9E"/>
    <w:rsid w:val="30CF2002"/>
    <w:rsid w:val="312E20EE"/>
    <w:rsid w:val="31317A98"/>
    <w:rsid w:val="31323479"/>
    <w:rsid w:val="313D38F5"/>
    <w:rsid w:val="31507673"/>
    <w:rsid w:val="316B54C2"/>
    <w:rsid w:val="31823C87"/>
    <w:rsid w:val="318A2BFA"/>
    <w:rsid w:val="318F1EAF"/>
    <w:rsid w:val="319E588A"/>
    <w:rsid w:val="31AB06D0"/>
    <w:rsid w:val="31BC3A61"/>
    <w:rsid w:val="31D57C59"/>
    <w:rsid w:val="31DE0B06"/>
    <w:rsid w:val="31E20F84"/>
    <w:rsid w:val="31E2639E"/>
    <w:rsid w:val="32000E3D"/>
    <w:rsid w:val="322A374D"/>
    <w:rsid w:val="32397CBD"/>
    <w:rsid w:val="32481410"/>
    <w:rsid w:val="32570130"/>
    <w:rsid w:val="3260253E"/>
    <w:rsid w:val="32B50FFB"/>
    <w:rsid w:val="32B560C4"/>
    <w:rsid w:val="32E06E96"/>
    <w:rsid w:val="331B7CD8"/>
    <w:rsid w:val="332826CA"/>
    <w:rsid w:val="332B21BB"/>
    <w:rsid w:val="334713C3"/>
    <w:rsid w:val="3384590E"/>
    <w:rsid w:val="338D69D1"/>
    <w:rsid w:val="339C7D4A"/>
    <w:rsid w:val="339D38E6"/>
    <w:rsid w:val="33B22E66"/>
    <w:rsid w:val="33EC726F"/>
    <w:rsid w:val="33F42256"/>
    <w:rsid w:val="34420478"/>
    <w:rsid w:val="344600A5"/>
    <w:rsid w:val="344C2BAD"/>
    <w:rsid w:val="349123A6"/>
    <w:rsid w:val="34F8108A"/>
    <w:rsid w:val="35223663"/>
    <w:rsid w:val="35802F5B"/>
    <w:rsid w:val="358131B3"/>
    <w:rsid w:val="358B26F3"/>
    <w:rsid w:val="358D35A5"/>
    <w:rsid w:val="35BA1C99"/>
    <w:rsid w:val="35BD3A52"/>
    <w:rsid w:val="35C973EF"/>
    <w:rsid w:val="35CE6CD3"/>
    <w:rsid w:val="35E30077"/>
    <w:rsid w:val="35E85544"/>
    <w:rsid w:val="35E96E09"/>
    <w:rsid w:val="35F9281B"/>
    <w:rsid w:val="360876B2"/>
    <w:rsid w:val="360F1920"/>
    <w:rsid w:val="36116E7D"/>
    <w:rsid w:val="361A1D7A"/>
    <w:rsid w:val="361D2C35"/>
    <w:rsid w:val="36203CC3"/>
    <w:rsid w:val="36363361"/>
    <w:rsid w:val="367148E4"/>
    <w:rsid w:val="3680744D"/>
    <w:rsid w:val="36813B12"/>
    <w:rsid w:val="36936782"/>
    <w:rsid w:val="36A455F9"/>
    <w:rsid w:val="36A91693"/>
    <w:rsid w:val="36B33A14"/>
    <w:rsid w:val="36E10BF5"/>
    <w:rsid w:val="3727785F"/>
    <w:rsid w:val="372E3D23"/>
    <w:rsid w:val="372F3AE5"/>
    <w:rsid w:val="37350D6B"/>
    <w:rsid w:val="373B6AD2"/>
    <w:rsid w:val="374235E4"/>
    <w:rsid w:val="375C5BE9"/>
    <w:rsid w:val="37691B57"/>
    <w:rsid w:val="377E3BF4"/>
    <w:rsid w:val="3784633D"/>
    <w:rsid w:val="37A30323"/>
    <w:rsid w:val="37E841E4"/>
    <w:rsid w:val="381C3226"/>
    <w:rsid w:val="38220C6A"/>
    <w:rsid w:val="384F07E4"/>
    <w:rsid w:val="385418DB"/>
    <w:rsid w:val="386250CD"/>
    <w:rsid w:val="386F3F6C"/>
    <w:rsid w:val="387A4549"/>
    <w:rsid w:val="3893328F"/>
    <w:rsid w:val="38953642"/>
    <w:rsid w:val="38957620"/>
    <w:rsid w:val="38B424B2"/>
    <w:rsid w:val="38BB3127"/>
    <w:rsid w:val="38BE3E73"/>
    <w:rsid w:val="38BF0C30"/>
    <w:rsid w:val="38C414AE"/>
    <w:rsid w:val="38DF7CBC"/>
    <w:rsid w:val="39172C7A"/>
    <w:rsid w:val="39183F03"/>
    <w:rsid w:val="391E6C04"/>
    <w:rsid w:val="39300B70"/>
    <w:rsid w:val="395E774C"/>
    <w:rsid w:val="396407C5"/>
    <w:rsid w:val="3967648E"/>
    <w:rsid w:val="39757943"/>
    <w:rsid w:val="39761B8D"/>
    <w:rsid w:val="39851B1D"/>
    <w:rsid w:val="39BA6046"/>
    <w:rsid w:val="39E430C3"/>
    <w:rsid w:val="39ED1F78"/>
    <w:rsid w:val="39F534E6"/>
    <w:rsid w:val="39F70026"/>
    <w:rsid w:val="3A2119C3"/>
    <w:rsid w:val="3A3309AA"/>
    <w:rsid w:val="3A48762E"/>
    <w:rsid w:val="3A555570"/>
    <w:rsid w:val="3A84355A"/>
    <w:rsid w:val="3A897826"/>
    <w:rsid w:val="3AB83338"/>
    <w:rsid w:val="3ADF05BC"/>
    <w:rsid w:val="3AF25782"/>
    <w:rsid w:val="3B3D2819"/>
    <w:rsid w:val="3B3E2672"/>
    <w:rsid w:val="3B514DB5"/>
    <w:rsid w:val="3B5F0F10"/>
    <w:rsid w:val="3B675B2C"/>
    <w:rsid w:val="3BAA5599"/>
    <w:rsid w:val="3BBB6B96"/>
    <w:rsid w:val="3BD33398"/>
    <w:rsid w:val="3BEF37E2"/>
    <w:rsid w:val="3C1A2B8A"/>
    <w:rsid w:val="3C273640"/>
    <w:rsid w:val="3C516EB8"/>
    <w:rsid w:val="3C7F7977"/>
    <w:rsid w:val="3C8425A1"/>
    <w:rsid w:val="3CE85EAF"/>
    <w:rsid w:val="3CED497B"/>
    <w:rsid w:val="3D020BEE"/>
    <w:rsid w:val="3D057E0A"/>
    <w:rsid w:val="3D1C6123"/>
    <w:rsid w:val="3D1D39EA"/>
    <w:rsid w:val="3D20520A"/>
    <w:rsid w:val="3D2403F8"/>
    <w:rsid w:val="3D291AD5"/>
    <w:rsid w:val="3D2C177C"/>
    <w:rsid w:val="3D354029"/>
    <w:rsid w:val="3D576A98"/>
    <w:rsid w:val="3D8F02B4"/>
    <w:rsid w:val="3DBA2362"/>
    <w:rsid w:val="3DC83F24"/>
    <w:rsid w:val="3DD0408A"/>
    <w:rsid w:val="3DF34AFC"/>
    <w:rsid w:val="3E6E788C"/>
    <w:rsid w:val="3E766ED4"/>
    <w:rsid w:val="3E9C2D20"/>
    <w:rsid w:val="3E9D3649"/>
    <w:rsid w:val="3EA60A14"/>
    <w:rsid w:val="3EC20C42"/>
    <w:rsid w:val="3F2A5D75"/>
    <w:rsid w:val="3F4A2D3F"/>
    <w:rsid w:val="3F786788"/>
    <w:rsid w:val="3FD7120C"/>
    <w:rsid w:val="3FEA6B58"/>
    <w:rsid w:val="401A3A85"/>
    <w:rsid w:val="403832E1"/>
    <w:rsid w:val="40B437EF"/>
    <w:rsid w:val="412352F5"/>
    <w:rsid w:val="41451C09"/>
    <w:rsid w:val="414E4349"/>
    <w:rsid w:val="418E48D7"/>
    <w:rsid w:val="418F3418"/>
    <w:rsid w:val="41B31D86"/>
    <w:rsid w:val="41BC2A43"/>
    <w:rsid w:val="42005A50"/>
    <w:rsid w:val="420F2CA7"/>
    <w:rsid w:val="423652B9"/>
    <w:rsid w:val="424D05EF"/>
    <w:rsid w:val="42694FEF"/>
    <w:rsid w:val="42B2551D"/>
    <w:rsid w:val="42C13504"/>
    <w:rsid w:val="42C24E0F"/>
    <w:rsid w:val="42CF4077"/>
    <w:rsid w:val="42D8459B"/>
    <w:rsid w:val="43346F3E"/>
    <w:rsid w:val="434E263A"/>
    <w:rsid w:val="43787067"/>
    <w:rsid w:val="43A9615F"/>
    <w:rsid w:val="43B30D9B"/>
    <w:rsid w:val="43F30B0F"/>
    <w:rsid w:val="442770D5"/>
    <w:rsid w:val="44290BD8"/>
    <w:rsid w:val="44352E99"/>
    <w:rsid w:val="443C68A6"/>
    <w:rsid w:val="445E0422"/>
    <w:rsid w:val="446502FC"/>
    <w:rsid w:val="44694641"/>
    <w:rsid w:val="447031A3"/>
    <w:rsid w:val="44891E5E"/>
    <w:rsid w:val="448C57C5"/>
    <w:rsid w:val="44922A1F"/>
    <w:rsid w:val="44A83F5E"/>
    <w:rsid w:val="44B54965"/>
    <w:rsid w:val="44DA759D"/>
    <w:rsid w:val="44DE1470"/>
    <w:rsid w:val="44E04032"/>
    <w:rsid w:val="452E7254"/>
    <w:rsid w:val="45305CA2"/>
    <w:rsid w:val="45C8193A"/>
    <w:rsid w:val="45CD1CD4"/>
    <w:rsid w:val="45CE37B6"/>
    <w:rsid w:val="45DB2AD4"/>
    <w:rsid w:val="45EC3F46"/>
    <w:rsid w:val="45EE03E7"/>
    <w:rsid w:val="45FC43D5"/>
    <w:rsid w:val="45FE5291"/>
    <w:rsid w:val="461327BA"/>
    <w:rsid w:val="461C40E0"/>
    <w:rsid w:val="465D208B"/>
    <w:rsid w:val="466D6499"/>
    <w:rsid w:val="46A45542"/>
    <w:rsid w:val="46B465C1"/>
    <w:rsid w:val="46D6332C"/>
    <w:rsid w:val="47077BC8"/>
    <w:rsid w:val="47087E99"/>
    <w:rsid w:val="472A65BD"/>
    <w:rsid w:val="47434A5E"/>
    <w:rsid w:val="47726BB8"/>
    <w:rsid w:val="47A101D2"/>
    <w:rsid w:val="47C36A0E"/>
    <w:rsid w:val="481A5F58"/>
    <w:rsid w:val="48276B54"/>
    <w:rsid w:val="4835679E"/>
    <w:rsid w:val="48451B2B"/>
    <w:rsid w:val="48492CEC"/>
    <w:rsid w:val="48521057"/>
    <w:rsid w:val="489D780E"/>
    <w:rsid w:val="48B80991"/>
    <w:rsid w:val="48E51230"/>
    <w:rsid w:val="490473AE"/>
    <w:rsid w:val="492716C3"/>
    <w:rsid w:val="493851F8"/>
    <w:rsid w:val="4950548C"/>
    <w:rsid w:val="49C43344"/>
    <w:rsid w:val="49C476DB"/>
    <w:rsid w:val="49CB243D"/>
    <w:rsid w:val="49CF73F4"/>
    <w:rsid w:val="49EC7FED"/>
    <w:rsid w:val="4A0247A9"/>
    <w:rsid w:val="4A2F400C"/>
    <w:rsid w:val="4A7638C4"/>
    <w:rsid w:val="4A966B18"/>
    <w:rsid w:val="4AC876C6"/>
    <w:rsid w:val="4AD62B14"/>
    <w:rsid w:val="4AE967DA"/>
    <w:rsid w:val="4B2555DC"/>
    <w:rsid w:val="4B8F0375"/>
    <w:rsid w:val="4B941CC5"/>
    <w:rsid w:val="4BB807FB"/>
    <w:rsid w:val="4BE802FC"/>
    <w:rsid w:val="4BF17759"/>
    <w:rsid w:val="4BFE1857"/>
    <w:rsid w:val="4C256D2B"/>
    <w:rsid w:val="4C2A136D"/>
    <w:rsid w:val="4C5708AB"/>
    <w:rsid w:val="4C577725"/>
    <w:rsid w:val="4C626F9B"/>
    <w:rsid w:val="4C7321A7"/>
    <w:rsid w:val="4C9F25A8"/>
    <w:rsid w:val="4CA16DCE"/>
    <w:rsid w:val="4CAC07BF"/>
    <w:rsid w:val="4CC15BCA"/>
    <w:rsid w:val="4D0C1510"/>
    <w:rsid w:val="4D51180C"/>
    <w:rsid w:val="4D903007"/>
    <w:rsid w:val="4DAE41CD"/>
    <w:rsid w:val="4DB91323"/>
    <w:rsid w:val="4DBF56DC"/>
    <w:rsid w:val="4DCA695E"/>
    <w:rsid w:val="4DD34B32"/>
    <w:rsid w:val="4DF32C9C"/>
    <w:rsid w:val="4DFA08FB"/>
    <w:rsid w:val="4E061402"/>
    <w:rsid w:val="4E207A0D"/>
    <w:rsid w:val="4E327A53"/>
    <w:rsid w:val="4E567398"/>
    <w:rsid w:val="4E6D7055"/>
    <w:rsid w:val="4E8C41F0"/>
    <w:rsid w:val="4EA44C61"/>
    <w:rsid w:val="4EC3024E"/>
    <w:rsid w:val="4ECB2608"/>
    <w:rsid w:val="4EDD73A8"/>
    <w:rsid w:val="4EE418E9"/>
    <w:rsid w:val="4EEC6100"/>
    <w:rsid w:val="4F0B0ECF"/>
    <w:rsid w:val="4F0C2567"/>
    <w:rsid w:val="4F1A7097"/>
    <w:rsid w:val="4F1F5887"/>
    <w:rsid w:val="4F300868"/>
    <w:rsid w:val="4F4D0CF7"/>
    <w:rsid w:val="4F6D3C87"/>
    <w:rsid w:val="4F766114"/>
    <w:rsid w:val="4F7C7BCE"/>
    <w:rsid w:val="4F8D1DDB"/>
    <w:rsid w:val="4F9B1428"/>
    <w:rsid w:val="500E450D"/>
    <w:rsid w:val="5047115C"/>
    <w:rsid w:val="504A233E"/>
    <w:rsid w:val="50535130"/>
    <w:rsid w:val="508064FA"/>
    <w:rsid w:val="50974E65"/>
    <w:rsid w:val="50A44971"/>
    <w:rsid w:val="50AA076B"/>
    <w:rsid w:val="50AD6A28"/>
    <w:rsid w:val="50BA315C"/>
    <w:rsid w:val="50D17164"/>
    <w:rsid w:val="514060B9"/>
    <w:rsid w:val="517712A1"/>
    <w:rsid w:val="517C3FEF"/>
    <w:rsid w:val="5181771E"/>
    <w:rsid w:val="5183119E"/>
    <w:rsid w:val="51843781"/>
    <w:rsid w:val="51867C27"/>
    <w:rsid w:val="519F621F"/>
    <w:rsid w:val="51AD1296"/>
    <w:rsid w:val="51B0255C"/>
    <w:rsid w:val="51C7257B"/>
    <w:rsid w:val="51CB3C8A"/>
    <w:rsid w:val="51DE5BE7"/>
    <w:rsid w:val="51E04C66"/>
    <w:rsid w:val="51F32B50"/>
    <w:rsid w:val="52193262"/>
    <w:rsid w:val="521A056A"/>
    <w:rsid w:val="5234682A"/>
    <w:rsid w:val="52382DB5"/>
    <w:rsid w:val="52491944"/>
    <w:rsid w:val="52640B6F"/>
    <w:rsid w:val="527E4E6B"/>
    <w:rsid w:val="52993CD9"/>
    <w:rsid w:val="529E60AD"/>
    <w:rsid w:val="52BB0CD9"/>
    <w:rsid w:val="52C04276"/>
    <w:rsid w:val="530E64E4"/>
    <w:rsid w:val="53101237"/>
    <w:rsid w:val="53250F33"/>
    <w:rsid w:val="53332C9A"/>
    <w:rsid w:val="533A0571"/>
    <w:rsid w:val="533B3282"/>
    <w:rsid w:val="53684507"/>
    <w:rsid w:val="5374416D"/>
    <w:rsid w:val="539400A1"/>
    <w:rsid w:val="539A2467"/>
    <w:rsid w:val="53A4065E"/>
    <w:rsid w:val="53CE3A13"/>
    <w:rsid w:val="53FA7014"/>
    <w:rsid w:val="54325543"/>
    <w:rsid w:val="545D7E3C"/>
    <w:rsid w:val="545E6BDC"/>
    <w:rsid w:val="5466327F"/>
    <w:rsid w:val="546F4568"/>
    <w:rsid w:val="54765A47"/>
    <w:rsid w:val="54863B26"/>
    <w:rsid w:val="548E05BA"/>
    <w:rsid w:val="549707C7"/>
    <w:rsid w:val="5497086B"/>
    <w:rsid w:val="54BE4E4A"/>
    <w:rsid w:val="54DC055B"/>
    <w:rsid w:val="551A3D7A"/>
    <w:rsid w:val="552C7F91"/>
    <w:rsid w:val="554D28DC"/>
    <w:rsid w:val="55834597"/>
    <w:rsid w:val="55913DF1"/>
    <w:rsid w:val="55C06231"/>
    <w:rsid w:val="55C47876"/>
    <w:rsid w:val="55D25507"/>
    <w:rsid w:val="55E011D4"/>
    <w:rsid w:val="56032E6F"/>
    <w:rsid w:val="561C4EBC"/>
    <w:rsid w:val="56214071"/>
    <w:rsid w:val="56227669"/>
    <w:rsid w:val="564D1DE8"/>
    <w:rsid w:val="566A287B"/>
    <w:rsid w:val="567B75D3"/>
    <w:rsid w:val="56AF0181"/>
    <w:rsid w:val="56C3522C"/>
    <w:rsid w:val="56FB4299"/>
    <w:rsid w:val="57432C38"/>
    <w:rsid w:val="57461B9C"/>
    <w:rsid w:val="57750BA9"/>
    <w:rsid w:val="5794072B"/>
    <w:rsid w:val="579C50CF"/>
    <w:rsid w:val="579E5CB8"/>
    <w:rsid w:val="57A44BF1"/>
    <w:rsid w:val="57B268AA"/>
    <w:rsid w:val="57B70FCE"/>
    <w:rsid w:val="57BE68AA"/>
    <w:rsid w:val="57ED4D0D"/>
    <w:rsid w:val="580426B8"/>
    <w:rsid w:val="58756694"/>
    <w:rsid w:val="58813187"/>
    <w:rsid w:val="5889510A"/>
    <w:rsid w:val="589942EF"/>
    <w:rsid w:val="589F0296"/>
    <w:rsid w:val="58D321E8"/>
    <w:rsid w:val="58F36F38"/>
    <w:rsid w:val="59040794"/>
    <w:rsid w:val="59552763"/>
    <w:rsid w:val="595F0381"/>
    <w:rsid w:val="596D67DA"/>
    <w:rsid w:val="598815BC"/>
    <w:rsid w:val="59934E50"/>
    <w:rsid w:val="59996F95"/>
    <w:rsid w:val="59B63831"/>
    <w:rsid w:val="59B91D56"/>
    <w:rsid w:val="59EA3442"/>
    <w:rsid w:val="59FD63F9"/>
    <w:rsid w:val="5A0E3B19"/>
    <w:rsid w:val="5A1F5763"/>
    <w:rsid w:val="5A302E1B"/>
    <w:rsid w:val="5A322152"/>
    <w:rsid w:val="5A516BE4"/>
    <w:rsid w:val="5A5275BC"/>
    <w:rsid w:val="5A5618E0"/>
    <w:rsid w:val="5A5B3C43"/>
    <w:rsid w:val="5AE34DFF"/>
    <w:rsid w:val="5AEE36BF"/>
    <w:rsid w:val="5AF74360"/>
    <w:rsid w:val="5AFE3A3B"/>
    <w:rsid w:val="5B04701D"/>
    <w:rsid w:val="5B151CE2"/>
    <w:rsid w:val="5B9061DE"/>
    <w:rsid w:val="5BE022D3"/>
    <w:rsid w:val="5BE56395"/>
    <w:rsid w:val="5C094E00"/>
    <w:rsid w:val="5C2B1A0B"/>
    <w:rsid w:val="5C505362"/>
    <w:rsid w:val="5C964B22"/>
    <w:rsid w:val="5CA03D9B"/>
    <w:rsid w:val="5CA240A8"/>
    <w:rsid w:val="5CA81109"/>
    <w:rsid w:val="5CCE57E1"/>
    <w:rsid w:val="5CD37F0D"/>
    <w:rsid w:val="5CE426BB"/>
    <w:rsid w:val="5CF824DF"/>
    <w:rsid w:val="5D4E52D5"/>
    <w:rsid w:val="5D5503BC"/>
    <w:rsid w:val="5D653EF6"/>
    <w:rsid w:val="5D7227E4"/>
    <w:rsid w:val="5D7406BB"/>
    <w:rsid w:val="5D7640A9"/>
    <w:rsid w:val="5D8D76F2"/>
    <w:rsid w:val="5D98400A"/>
    <w:rsid w:val="5D984CC3"/>
    <w:rsid w:val="5D9C4C6E"/>
    <w:rsid w:val="5DAB5818"/>
    <w:rsid w:val="5DC12BCC"/>
    <w:rsid w:val="5DD526E3"/>
    <w:rsid w:val="5E044358"/>
    <w:rsid w:val="5E5724CE"/>
    <w:rsid w:val="5E680756"/>
    <w:rsid w:val="5E8A448F"/>
    <w:rsid w:val="5ED52E57"/>
    <w:rsid w:val="5F3C368B"/>
    <w:rsid w:val="5F3D0F3C"/>
    <w:rsid w:val="5F825E7F"/>
    <w:rsid w:val="5F9034CE"/>
    <w:rsid w:val="5FAC46B7"/>
    <w:rsid w:val="5FD86B97"/>
    <w:rsid w:val="5FDD5568"/>
    <w:rsid w:val="5FE23663"/>
    <w:rsid w:val="5FFB5A77"/>
    <w:rsid w:val="5FFE182F"/>
    <w:rsid w:val="600A1993"/>
    <w:rsid w:val="601C399A"/>
    <w:rsid w:val="60417FD0"/>
    <w:rsid w:val="60435C36"/>
    <w:rsid w:val="60556DEE"/>
    <w:rsid w:val="606C44CC"/>
    <w:rsid w:val="608C07B1"/>
    <w:rsid w:val="60A66F57"/>
    <w:rsid w:val="60E96A11"/>
    <w:rsid w:val="60F9207D"/>
    <w:rsid w:val="60FF60A3"/>
    <w:rsid w:val="61241CFC"/>
    <w:rsid w:val="61325793"/>
    <w:rsid w:val="61C82693"/>
    <w:rsid w:val="61DD33C4"/>
    <w:rsid w:val="61E614B1"/>
    <w:rsid w:val="61F0695E"/>
    <w:rsid w:val="61F13675"/>
    <w:rsid w:val="6212001E"/>
    <w:rsid w:val="62145749"/>
    <w:rsid w:val="622C0EDF"/>
    <w:rsid w:val="62370ECA"/>
    <w:rsid w:val="62416894"/>
    <w:rsid w:val="625177F3"/>
    <w:rsid w:val="628B0B67"/>
    <w:rsid w:val="628B3E25"/>
    <w:rsid w:val="62A030EF"/>
    <w:rsid w:val="62AB3FC8"/>
    <w:rsid w:val="62BC03F2"/>
    <w:rsid w:val="62E114DA"/>
    <w:rsid w:val="62EC0530"/>
    <w:rsid w:val="62EC7C67"/>
    <w:rsid w:val="62F149FC"/>
    <w:rsid w:val="631D4F71"/>
    <w:rsid w:val="63297FCC"/>
    <w:rsid w:val="63372A1E"/>
    <w:rsid w:val="634857B6"/>
    <w:rsid w:val="638660F2"/>
    <w:rsid w:val="639F5EDC"/>
    <w:rsid w:val="63A67678"/>
    <w:rsid w:val="63B0021F"/>
    <w:rsid w:val="63B66DD0"/>
    <w:rsid w:val="63BD3026"/>
    <w:rsid w:val="63E1107F"/>
    <w:rsid w:val="63EA09F0"/>
    <w:rsid w:val="63EA6527"/>
    <w:rsid w:val="640B10C9"/>
    <w:rsid w:val="6412335B"/>
    <w:rsid w:val="642754C2"/>
    <w:rsid w:val="644257F3"/>
    <w:rsid w:val="654736D8"/>
    <w:rsid w:val="655B2CD5"/>
    <w:rsid w:val="656C46A6"/>
    <w:rsid w:val="657D5AEA"/>
    <w:rsid w:val="658729D1"/>
    <w:rsid w:val="65A74E5D"/>
    <w:rsid w:val="65B11AE2"/>
    <w:rsid w:val="65C07C91"/>
    <w:rsid w:val="65CD784C"/>
    <w:rsid w:val="65CE6853"/>
    <w:rsid w:val="65EB11B2"/>
    <w:rsid w:val="661236FE"/>
    <w:rsid w:val="66336928"/>
    <w:rsid w:val="664418D9"/>
    <w:rsid w:val="664D1F27"/>
    <w:rsid w:val="6662407D"/>
    <w:rsid w:val="666F3D89"/>
    <w:rsid w:val="6690620D"/>
    <w:rsid w:val="66AF21DF"/>
    <w:rsid w:val="66D03940"/>
    <w:rsid w:val="671E3953"/>
    <w:rsid w:val="67277FC8"/>
    <w:rsid w:val="675B3A64"/>
    <w:rsid w:val="67710F6B"/>
    <w:rsid w:val="679110BE"/>
    <w:rsid w:val="67B550EC"/>
    <w:rsid w:val="67D048BD"/>
    <w:rsid w:val="67D16185"/>
    <w:rsid w:val="67E44D77"/>
    <w:rsid w:val="68210EE5"/>
    <w:rsid w:val="682E0B73"/>
    <w:rsid w:val="683B10B3"/>
    <w:rsid w:val="684501E6"/>
    <w:rsid w:val="68935329"/>
    <w:rsid w:val="68C2319E"/>
    <w:rsid w:val="690232A1"/>
    <w:rsid w:val="690F6F65"/>
    <w:rsid w:val="691825A9"/>
    <w:rsid w:val="692A713F"/>
    <w:rsid w:val="692E187C"/>
    <w:rsid w:val="6932273A"/>
    <w:rsid w:val="697138A5"/>
    <w:rsid w:val="6973106A"/>
    <w:rsid w:val="698A2336"/>
    <w:rsid w:val="698B1065"/>
    <w:rsid w:val="69927083"/>
    <w:rsid w:val="69FC51D4"/>
    <w:rsid w:val="6A106C66"/>
    <w:rsid w:val="6A1B3C45"/>
    <w:rsid w:val="6A301B0F"/>
    <w:rsid w:val="6A743278"/>
    <w:rsid w:val="6A927C8C"/>
    <w:rsid w:val="6A9C66E1"/>
    <w:rsid w:val="6ACD2A46"/>
    <w:rsid w:val="6B0A1D89"/>
    <w:rsid w:val="6B163BA8"/>
    <w:rsid w:val="6B267369"/>
    <w:rsid w:val="6B3D2433"/>
    <w:rsid w:val="6B55269B"/>
    <w:rsid w:val="6B571DF5"/>
    <w:rsid w:val="6B68412E"/>
    <w:rsid w:val="6B6949F9"/>
    <w:rsid w:val="6B791262"/>
    <w:rsid w:val="6B8B3B19"/>
    <w:rsid w:val="6B8C0D41"/>
    <w:rsid w:val="6BA04CC6"/>
    <w:rsid w:val="6BB1746E"/>
    <w:rsid w:val="6BBE270B"/>
    <w:rsid w:val="6BEE6D7D"/>
    <w:rsid w:val="6BF50F44"/>
    <w:rsid w:val="6C2151D4"/>
    <w:rsid w:val="6C553829"/>
    <w:rsid w:val="6C6B058B"/>
    <w:rsid w:val="6C861C34"/>
    <w:rsid w:val="6CAC67B0"/>
    <w:rsid w:val="6CAF7171"/>
    <w:rsid w:val="6CBE2AC4"/>
    <w:rsid w:val="6CDB74C4"/>
    <w:rsid w:val="6CEA0576"/>
    <w:rsid w:val="6CFF37DA"/>
    <w:rsid w:val="6D1234C8"/>
    <w:rsid w:val="6D2A6E0C"/>
    <w:rsid w:val="6D2D7157"/>
    <w:rsid w:val="6D321474"/>
    <w:rsid w:val="6D3501C3"/>
    <w:rsid w:val="6D7B7CCF"/>
    <w:rsid w:val="6D815626"/>
    <w:rsid w:val="6D8A72B7"/>
    <w:rsid w:val="6DA57579"/>
    <w:rsid w:val="6DC5069E"/>
    <w:rsid w:val="6DD30FAF"/>
    <w:rsid w:val="6DD669E2"/>
    <w:rsid w:val="6DF57396"/>
    <w:rsid w:val="6DFD72F3"/>
    <w:rsid w:val="6E3200EC"/>
    <w:rsid w:val="6E515235"/>
    <w:rsid w:val="6E95615F"/>
    <w:rsid w:val="6EE0417F"/>
    <w:rsid w:val="6F094675"/>
    <w:rsid w:val="6F0C6F95"/>
    <w:rsid w:val="6F125A01"/>
    <w:rsid w:val="6F2B5F56"/>
    <w:rsid w:val="6F55226A"/>
    <w:rsid w:val="6F824993"/>
    <w:rsid w:val="6F954227"/>
    <w:rsid w:val="6FC200C3"/>
    <w:rsid w:val="6FC55CB3"/>
    <w:rsid w:val="6FD401E6"/>
    <w:rsid w:val="6FEA06E5"/>
    <w:rsid w:val="6FFC02F4"/>
    <w:rsid w:val="70111528"/>
    <w:rsid w:val="70190B1A"/>
    <w:rsid w:val="70293003"/>
    <w:rsid w:val="704D4D35"/>
    <w:rsid w:val="705A6FB4"/>
    <w:rsid w:val="70B37E58"/>
    <w:rsid w:val="70E64A50"/>
    <w:rsid w:val="70F70DBE"/>
    <w:rsid w:val="710D086D"/>
    <w:rsid w:val="714D2D21"/>
    <w:rsid w:val="71713759"/>
    <w:rsid w:val="71844CF8"/>
    <w:rsid w:val="718A5D23"/>
    <w:rsid w:val="71B14779"/>
    <w:rsid w:val="71C37AF1"/>
    <w:rsid w:val="71E321E7"/>
    <w:rsid w:val="71F958E4"/>
    <w:rsid w:val="71FD2E50"/>
    <w:rsid w:val="72205F44"/>
    <w:rsid w:val="72225235"/>
    <w:rsid w:val="722D404E"/>
    <w:rsid w:val="72314D4E"/>
    <w:rsid w:val="72410BD8"/>
    <w:rsid w:val="72442EAD"/>
    <w:rsid w:val="726C37F5"/>
    <w:rsid w:val="72C14F17"/>
    <w:rsid w:val="73062F64"/>
    <w:rsid w:val="731904CC"/>
    <w:rsid w:val="731A07EF"/>
    <w:rsid w:val="736D2AE3"/>
    <w:rsid w:val="73767EBA"/>
    <w:rsid w:val="739B4739"/>
    <w:rsid w:val="73B610D3"/>
    <w:rsid w:val="73B72896"/>
    <w:rsid w:val="73C666B5"/>
    <w:rsid w:val="73C67435"/>
    <w:rsid w:val="73C85023"/>
    <w:rsid w:val="73F2328C"/>
    <w:rsid w:val="73F50FF9"/>
    <w:rsid w:val="73F97A1B"/>
    <w:rsid w:val="740C3895"/>
    <w:rsid w:val="741E09A4"/>
    <w:rsid w:val="742F48A0"/>
    <w:rsid w:val="747535FC"/>
    <w:rsid w:val="74CE4B50"/>
    <w:rsid w:val="74E4399C"/>
    <w:rsid w:val="74F56256"/>
    <w:rsid w:val="75017FF1"/>
    <w:rsid w:val="758120A3"/>
    <w:rsid w:val="75AA17DA"/>
    <w:rsid w:val="75B464E2"/>
    <w:rsid w:val="75BC0475"/>
    <w:rsid w:val="75CD09F0"/>
    <w:rsid w:val="75D27C98"/>
    <w:rsid w:val="76296AE1"/>
    <w:rsid w:val="7673613F"/>
    <w:rsid w:val="767E402C"/>
    <w:rsid w:val="76831865"/>
    <w:rsid w:val="77183DD1"/>
    <w:rsid w:val="77190159"/>
    <w:rsid w:val="772162A1"/>
    <w:rsid w:val="772505E1"/>
    <w:rsid w:val="772860F2"/>
    <w:rsid w:val="772D1644"/>
    <w:rsid w:val="77320933"/>
    <w:rsid w:val="77752FD1"/>
    <w:rsid w:val="779E6022"/>
    <w:rsid w:val="77BE4134"/>
    <w:rsid w:val="77C77A8B"/>
    <w:rsid w:val="77D8359D"/>
    <w:rsid w:val="77EA2C9A"/>
    <w:rsid w:val="77EC0551"/>
    <w:rsid w:val="78031879"/>
    <w:rsid w:val="780510B6"/>
    <w:rsid w:val="781F0A90"/>
    <w:rsid w:val="78667F59"/>
    <w:rsid w:val="78747B76"/>
    <w:rsid w:val="78851E05"/>
    <w:rsid w:val="789240C3"/>
    <w:rsid w:val="789456D9"/>
    <w:rsid w:val="78986FD3"/>
    <w:rsid w:val="78C82A1C"/>
    <w:rsid w:val="78D17A40"/>
    <w:rsid w:val="78EF7C99"/>
    <w:rsid w:val="790441F8"/>
    <w:rsid w:val="790E5BFC"/>
    <w:rsid w:val="79165E93"/>
    <w:rsid w:val="791C76F7"/>
    <w:rsid w:val="792A29FB"/>
    <w:rsid w:val="79396751"/>
    <w:rsid w:val="79612DB0"/>
    <w:rsid w:val="799B627E"/>
    <w:rsid w:val="79A85C0D"/>
    <w:rsid w:val="79B84AF3"/>
    <w:rsid w:val="7A00131C"/>
    <w:rsid w:val="7A1676FC"/>
    <w:rsid w:val="7A283927"/>
    <w:rsid w:val="7A544F7D"/>
    <w:rsid w:val="7AA50DC8"/>
    <w:rsid w:val="7AD27DC7"/>
    <w:rsid w:val="7AE917C2"/>
    <w:rsid w:val="7AEA2C9B"/>
    <w:rsid w:val="7AEC00A8"/>
    <w:rsid w:val="7B0C3CC6"/>
    <w:rsid w:val="7B14227E"/>
    <w:rsid w:val="7B1F4A81"/>
    <w:rsid w:val="7B2C41BA"/>
    <w:rsid w:val="7B312AC7"/>
    <w:rsid w:val="7BE6307B"/>
    <w:rsid w:val="7C02353E"/>
    <w:rsid w:val="7C154D23"/>
    <w:rsid w:val="7C270134"/>
    <w:rsid w:val="7C5049C4"/>
    <w:rsid w:val="7C58578F"/>
    <w:rsid w:val="7C733DB3"/>
    <w:rsid w:val="7C750ACB"/>
    <w:rsid w:val="7CA2722F"/>
    <w:rsid w:val="7CA6577A"/>
    <w:rsid w:val="7CAA7343"/>
    <w:rsid w:val="7CAF4932"/>
    <w:rsid w:val="7CC20541"/>
    <w:rsid w:val="7CC529AF"/>
    <w:rsid w:val="7CEF7382"/>
    <w:rsid w:val="7CF567FC"/>
    <w:rsid w:val="7D147ED7"/>
    <w:rsid w:val="7D782ED3"/>
    <w:rsid w:val="7D871EEE"/>
    <w:rsid w:val="7D921450"/>
    <w:rsid w:val="7D9D6962"/>
    <w:rsid w:val="7DB22F28"/>
    <w:rsid w:val="7DCF5EDE"/>
    <w:rsid w:val="7DF549E4"/>
    <w:rsid w:val="7E7A366A"/>
    <w:rsid w:val="7E945BE8"/>
    <w:rsid w:val="7ED00328"/>
    <w:rsid w:val="7F327719"/>
    <w:rsid w:val="7F404D84"/>
    <w:rsid w:val="7F4A35CB"/>
    <w:rsid w:val="7F6F7BA0"/>
    <w:rsid w:val="7F7D684E"/>
    <w:rsid w:val="7F8D189B"/>
    <w:rsid w:val="7F922F38"/>
    <w:rsid w:val="7F935515"/>
    <w:rsid w:val="7FB976E2"/>
    <w:rsid w:val="7FDB3BED"/>
    <w:rsid w:val="7FDD0130"/>
    <w:rsid w:val="7FFC1B3A"/>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name="heading 2" w:locked="1"/>
    <w:lsdException w:qFormat="1" w:uiPriority="9"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39" w:semiHidden="0" w:name="toc 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iPriority="99" w:name="Normal Indent" w:locked="1"/>
    <w:lsdException w:uiPriority="99" w:name="footnote text" w:locked="1"/>
    <w:lsdException w:uiPriority="99" w:name="annotation text" w:locked="1"/>
    <w:lsdException w:qFormat="1" w:unhideWhenUsed="0" w:uiPriority="99" w:semiHidden="0"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qFormat="1" w:uiPriority="1" w:name="Default Paragraph Font"/>
    <w:lsdException w:uiPriority="99" w:name="Body Text" w:locked="1"/>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qFormat="1" w:unhideWhenUsed="0" w:uiPriority="0" w:semiHidden="0"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nhideWhenUsed="0" w:uiPriority="99" w:semiHidden="0" w:name="Hyperlink"/>
    <w:lsdException w:uiPriority="99" w:name="FollowedHyperlink" w:locked="1"/>
    <w:lsdException w:qFormat="1" w:unhideWhenUsed="0" w:uiPriority="22" w:semiHidden="0" w:name="Strong" w:locked="1"/>
    <w:lsdException w:qFormat="1" w:unhideWhenUsed="0" w:uiPriority="20" w:semiHidden="0" w:name="Emphasis" w:locked="1"/>
    <w:lsdException w:uiPriority="99" w:name="Document Map" w:locked="1"/>
    <w:lsdException w:uiPriority="99" w:name="Plain Text" w:locked="1"/>
    <w:lsdException w:uiPriority="99" w:name="E-mail Signature" w:locked="1"/>
    <w:lsdException w:uiPriority="99" w:name="Normal (Web)" w:locked="1"/>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semiHidden="0"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10" w:lineRule="atLeast"/>
      <w:ind w:firstLine="200" w:firstLineChars="20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99"/>
    <w:pPr>
      <w:keepNext/>
      <w:keepLines/>
      <w:spacing w:line="578" w:lineRule="auto"/>
      <w:outlineLvl w:val="0"/>
    </w:pPr>
    <w:rPr>
      <w:b/>
      <w:bCs/>
      <w:kern w:val="44"/>
      <w:sz w:val="24"/>
      <w:szCs w:val="44"/>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link w:val="15"/>
    <w:qFormat/>
    <w:uiPriority w:val="99"/>
    <w:pPr>
      <w:spacing w:line="240" w:lineRule="atLeast"/>
      <w:ind w:left="570"/>
    </w:pPr>
  </w:style>
  <w:style w:type="paragraph" w:styleId="4">
    <w:name w:val="Date"/>
    <w:basedOn w:val="1"/>
    <w:next w:val="1"/>
    <w:link w:val="21"/>
    <w:qFormat/>
    <w:locked/>
    <w:uiPriority w:val="0"/>
    <w:pPr>
      <w:spacing w:line="240" w:lineRule="auto"/>
      <w:ind w:left="100" w:leftChars="2500" w:firstLine="0" w:firstLineChars="0"/>
    </w:pPr>
  </w:style>
  <w:style w:type="paragraph" w:styleId="5">
    <w:name w:val="Balloon Text"/>
    <w:basedOn w:val="1"/>
    <w:link w:val="16"/>
    <w:qFormat/>
    <w:uiPriority w:val="99"/>
    <w:rPr>
      <w:sz w:val="18"/>
      <w:szCs w:val="18"/>
    </w:rPr>
  </w:style>
  <w:style w:type="paragraph" w:styleId="6">
    <w:name w:val="footer"/>
    <w:basedOn w:val="1"/>
    <w:link w:val="17"/>
    <w:qFormat/>
    <w:uiPriority w:val="99"/>
    <w:pPr>
      <w:tabs>
        <w:tab w:val="center" w:pos="4153"/>
        <w:tab w:val="right" w:pos="8306"/>
      </w:tabs>
      <w:snapToGrid w:val="0"/>
      <w:ind w:firstLine="1620" w:firstLineChars="900"/>
      <w:jc w:val="left"/>
    </w:pPr>
    <w:rPr>
      <w:sz w:val="18"/>
      <w:szCs w:val="18"/>
    </w:rPr>
  </w:style>
  <w:style w:type="paragraph" w:styleId="7">
    <w:name w:val="header"/>
    <w:basedOn w:val="1"/>
    <w:link w:val="18"/>
    <w:autoRedefine/>
    <w:qFormat/>
    <w:uiPriority w:val="99"/>
    <w:pPr>
      <w:pBdr>
        <w:bottom w:val="single" w:color="auto" w:sz="6" w:space="7"/>
      </w:pBdr>
      <w:tabs>
        <w:tab w:val="center" w:pos="4153"/>
        <w:tab w:val="right" w:pos="8306"/>
      </w:tabs>
      <w:snapToGrid w:val="0"/>
      <w:ind w:firstLine="3330"/>
    </w:pPr>
    <w:rPr>
      <w:sz w:val="18"/>
      <w:szCs w:val="18"/>
    </w:rPr>
  </w:style>
  <w:style w:type="paragraph" w:styleId="8">
    <w:name w:val="toc 1"/>
    <w:basedOn w:val="1"/>
    <w:next w:val="1"/>
    <w:autoRedefine/>
    <w:qFormat/>
    <w:uiPriority w:val="39"/>
  </w:style>
  <w:style w:type="table" w:styleId="10">
    <w:name w:val="Table Grid"/>
    <w:basedOn w:val="9"/>
    <w:autoRedefine/>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autoRedefine/>
    <w:qFormat/>
    <w:uiPriority w:val="99"/>
    <w:rPr>
      <w:rFonts w:cs="Times New Roman"/>
    </w:rPr>
  </w:style>
  <w:style w:type="character" w:styleId="13">
    <w:name w:val="Hyperlink"/>
    <w:basedOn w:val="11"/>
    <w:autoRedefine/>
    <w:qFormat/>
    <w:uiPriority w:val="99"/>
    <w:rPr>
      <w:rFonts w:cs="Times New Roman"/>
      <w:color w:val="0000FF"/>
      <w:u w:val="single"/>
    </w:rPr>
  </w:style>
  <w:style w:type="character" w:customStyle="1" w:styleId="14">
    <w:name w:val="标题 1 字符"/>
    <w:link w:val="2"/>
    <w:qFormat/>
    <w:locked/>
    <w:uiPriority w:val="99"/>
    <w:rPr>
      <w:rFonts w:cs="Times New Roman"/>
      <w:b/>
      <w:bCs/>
      <w:kern w:val="44"/>
      <w:sz w:val="44"/>
      <w:szCs w:val="44"/>
    </w:rPr>
  </w:style>
  <w:style w:type="character" w:customStyle="1" w:styleId="15">
    <w:name w:val="正文文本缩进 字符"/>
    <w:link w:val="3"/>
    <w:autoRedefine/>
    <w:semiHidden/>
    <w:qFormat/>
    <w:locked/>
    <w:uiPriority w:val="99"/>
    <w:rPr>
      <w:rFonts w:cs="Times New Roman"/>
      <w:sz w:val="24"/>
      <w:szCs w:val="24"/>
    </w:rPr>
  </w:style>
  <w:style w:type="character" w:customStyle="1" w:styleId="16">
    <w:name w:val="批注框文本 字符"/>
    <w:link w:val="5"/>
    <w:autoRedefine/>
    <w:qFormat/>
    <w:locked/>
    <w:uiPriority w:val="99"/>
    <w:rPr>
      <w:rFonts w:cs="Times New Roman"/>
      <w:kern w:val="2"/>
      <w:sz w:val="18"/>
      <w:szCs w:val="18"/>
    </w:rPr>
  </w:style>
  <w:style w:type="character" w:customStyle="1" w:styleId="17">
    <w:name w:val="页脚 字符"/>
    <w:link w:val="6"/>
    <w:autoRedefine/>
    <w:qFormat/>
    <w:locked/>
    <w:uiPriority w:val="99"/>
    <w:rPr>
      <w:rFonts w:cs="Times New Roman"/>
      <w:kern w:val="2"/>
      <w:sz w:val="18"/>
      <w:szCs w:val="18"/>
    </w:rPr>
  </w:style>
  <w:style w:type="character" w:customStyle="1" w:styleId="18">
    <w:name w:val="页眉 字符"/>
    <w:link w:val="7"/>
    <w:autoRedefine/>
    <w:qFormat/>
    <w:locked/>
    <w:uiPriority w:val="99"/>
    <w:rPr>
      <w:rFonts w:cs="Times New Roman"/>
      <w:kern w:val="2"/>
      <w:sz w:val="18"/>
      <w:szCs w:val="18"/>
    </w:rPr>
  </w:style>
  <w:style w:type="paragraph" w:customStyle="1" w:styleId="19">
    <w:name w:val="列出段落1"/>
    <w:basedOn w:val="1"/>
    <w:autoRedefine/>
    <w:qFormat/>
    <w:uiPriority w:val="34"/>
    <w:pPr>
      <w:ind w:firstLine="420"/>
    </w:pPr>
  </w:style>
  <w:style w:type="paragraph" w:styleId="20">
    <w:name w:val="List Paragraph"/>
    <w:basedOn w:val="1"/>
    <w:autoRedefine/>
    <w:qFormat/>
    <w:uiPriority w:val="34"/>
    <w:pPr>
      <w:ind w:firstLine="420"/>
    </w:pPr>
  </w:style>
  <w:style w:type="character" w:customStyle="1" w:styleId="21">
    <w:name w:val="日期 字符"/>
    <w:basedOn w:val="11"/>
    <w:link w:val="4"/>
    <w:autoRedefine/>
    <w:qFormat/>
    <w:uiPriority w:val="0"/>
    <w:rPr>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4" Type="http://schemas.openxmlformats.org/officeDocument/2006/relationships/fontTable" Target="fontTable.xml"/><Relationship Id="rId43" Type="http://schemas.openxmlformats.org/officeDocument/2006/relationships/customXml" Target="../customXml/item1.xml"/><Relationship Id="rId42" Type="http://schemas.openxmlformats.org/officeDocument/2006/relationships/numbering" Target="numbering.xml"/><Relationship Id="rId41" Type="http://schemas.openxmlformats.org/officeDocument/2006/relationships/image" Target="media/image28.jpeg"/><Relationship Id="rId40" Type="http://schemas.openxmlformats.org/officeDocument/2006/relationships/image" Target="media/image27.jpeg"/><Relationship Id="rId4" Type="http://schemas.openxmlformats.org/officeDocument/2006/relationships/endnotes" Target="endnotes.xml"/><Relationship Id="rId39" Type="http://schemas.openxmlformats.org/officeDocument/2006/relationships/image" Target="media/image26.jpeg"/><Relationship Id="rId38" Type="http://schemas.openxmlformats.org/officeDocument/2006/relationships/image" Target="media/image25.jpeg"/><Relationship Id="rId37" Type="http://schemas.openxmlformats.org/officeDocument/2006/relationships/image" Target="media/image24.jpeg"/><Relationship Id="rId36" Type="http://schemas.openxmlformats.org/officeDocument/2006/relationships/image" Target="media/image23.jpeg"/><Relationship Id="rId35" Type="http://schemas.openxmlformats.org/officeDocument/2006/relationships/image" Target="media/image22.jpeg"/><Relationship Id="rId34" Type="http://schemas.openxmlformats.org/officeDocument/2006/relationships/image" Target="media/image21.jpeg"/><Relationship Id="rId33" Type="http://schemas.openxmlformats.org/officeDocument/2006/relationships/image" Target="media/image20.jpeg"/><Relationship Id="rId32" Type="http://schemas.openxmlformats.org/officeDocument/2006/relationships/image" Target="media/image19.jpeg"/><Relationship Id="rId31" Type="http://schemas.openxmlformats.org/officeDocument/2006/relationships/image" Target="media/image18.jpeg"/><Relationship Id="rId30" Type="http://schemas.openxmlformats.org/officeDocument/2006/relationships/image" Target="media/image17.jpeg"/><Relationship Id="rId3" Type="http://schemas.openxmlformats.org/officeDocument/2006/relationships/footnotes" Target="footnotes.xml"/><Relationship Id="rId29" Type="http://schemas.openxmlformats.org/officeDocument/2006/relationships/image" Target="media/image16.jpeg"/><Relationship Id="rId28" Type="http://schemas.openxmlformats.org/officeDocument/2006/relationships/image" Target="media/image15.jpeg"/><Relationship Id="rId27" Type="http://schemas.openxmlformats.org/officeDocument/2006/relationships/image" Target="media/image14.jpeg"/><Relationship Id="rId26" Type="http://schemas.openxmlformats.org/officeDocument/2006/relationships/image" Target="media/image13.jpeg"/><Relationship Id="rId25" Type="http://schemas.openxmlformats.org/officeDocument/2006/relationships/image" Target="media/image12.jpeg"/><Relationship Id="rId24" Type="http://schemas.openxmlformats.org/officeDocument/2006/relationships/image" Target="media/image11.wmf"/><Relationship Id="rId23" Type="http://schemas.openxmlformats.org/officeDocument/2006/relationships/oleObject" Target="embeddings/oleObject4.bin"/><Relationship Id="rId22" Type="http://schemas.openxmlformats.org/officeDocument/2006/relationships/image" Target="media/image10.wmf"/><Relationship Id="rId21" Type="http://schemas.openxmlformats.org/officeDocument/2006/relationships/oleObject" Target="embeddings/oleObject3.bin"/><Relationship Id="rId20" Type="http://schemas.openxmlformats.org/officeDocument/2006/relationships/image" Target="media/image9.wmf"/><Relationship Id="rId2" Type="http://schemas.openxmlformats.org/officeDocument/2006/relationships/settings" Target="settings.xml"/><Relationship Id="rId19" Type="http://schemas.openxmlformats.org/officeDocument/2006/relationships/oleObject" Target="embeddings/oleObject2.bin"/><Relationship Id="rId18" Type="http://schemas.openxmlformats.org/officeDocument/2006/relationships/image" Target="media/image8.wmf"/><Relationship Id="rId17" Type="http://schemas.openxmlformats.org/officeDocument/2006/relationships/oleObject" Target="embeddings/oleObject1.bin"/><Relationship Id="rId16" Type="http://schemas.openxmlformats.org/officeDocument/2006/relationships/image" Target="media/image7.jpeg"/><Relationship Id="rId15" Type="http://schemas.openxmlformats.org/officeDocument/2006/relationships/image" Target="media/image6.emf"/><Relationship Id="rId14" Type="http://schemas.openxmlformats.org/officeDocument/2006/relationships/image" Target="media/image5.emf"/><Relationship Id="rId13" Type="http://schemas.openxmlformats.org/officeDocument/2006/relationships/image" Target="media/image4.png"/><Relationship Id="rId12" Type="http://schemas.openxmlformats.org/officeDocument/2006/relationships/image" Target="media/image3.emf"/><Relationship Id="rId11" Type="http://schemas.openxmlformats.org/officeDocument/2006/relationships/image" Target="media/image2.jpeg"/><Relationship Id="rId10" Type="http://schemas.openxmlformats.org/officeDocument/2006/relationships/theme" Target="theme/theme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888F5E3B-627C-4A6E-AD46-28868E042F64}">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21</Pages>
  <Words>3208</Words>
  <Characters>16840</Characters>
  <Lines>146</Lines>
  <Paragraphs>41</Paragraphs>
  <TotalTime>64</TotalTime>
  <ScaleCrop>false</ScaleCrop>
  <LinksUpToDate>false</LinksUpToDate>
  <CharactersWithSpaces>19889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2023-09-14T02:31:00Z</dcterms:created>
  <dc:creator>Administrator</dc:creator>
  <cp:lastModifiedBy>Yasin</cp:lastModifiedBy>
  <cp:lastPrinted>2024-06-14T02:02:00Z</cp:lastPrinted>
  <dcterms:modified xsi:type="dcterms:W3CDTF">2026-01-16T08:25:38Z</dcterms:modified>
  <dc:title>直流电阻测试仪</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E069FD8360F94E15B3F8E4AD6E5A54AF_13</vt:lpwstr>
  </property>
</Properties>
</file>